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D7" w:rsidRDefault="004D67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67D7" w:rsidRDefault="004D67D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D67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7D7" w:rsidRDefault="004D67D7">
            <w:pPr>
              <w:pStyle w:val="ConsPlusNormal"/>
            </w:pPr>
            <w:r>
              <w:t>6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7D7" w:rsidRDefault="004D67D7">
            <w:pPr>
              <w:pStyle w:val="ConsPlusNormal"/>
              <w:jc w:val="right"/>
            </w:pPr>
            <w:r>
              <w:t>N 51-ЗО</w:t>
            </w:r>
          </w:p>
        </w:tc>
      </w:tr>
    </w:tbl>
    <w:p w:rsidR="004D67D7" w:rsidRDefault="004D67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jc w:val="center"/>
      </w:pPr>
      <w:r>
        <w:t>ЗАКОН</w:t>
      </w:r>
    </w:p>
    <w:p w:rsidR="004D67D7" w:rsidRDefault="004D67D7">
      <w:pPr>
        <w:pStyle w:val="ConsPlusTitle"/>
        <w:jc w:val="center"/>
      </w:pPr>
    </w:p>
    <w:p w:rsidR="004D67D7" w:rsidRDefault="004D67D7">
      <w:pPr>
        <w:pStyle w:val="ConsPlusTitle"/>
        <w:jc w:val="center"/>
      </w:pPr>
      <w:r>
        <w:t>КИРОВСКОЙ ОБЛАСТИ</w:t>
      </w:r>
    </w:p>
    <w:p w:rsidR="004D67D7" w:rsidRDefault="004D67D7">
      <w:pPr>
        <w:pStyle w:val="ConsPlusTitle"/>
        <w:jc w:val="center"/>
      </w:pPr>
    </w:p>
    <w:p w:rsidR="004D67D7" w:rsidRDefault="004D67D7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4D67D7" w:rsidRDefault="004D67D7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4D67D7" w:rsidRDefault="004D67D7">
      <w:pPr>
        <w:pStyle w:val="ConsPlusTitle"/>
        <w:jc w:val="center"/>
      </w:pPr>
      <w:r>
        <w:t>НАЗНАЧЕНИЯ, МАСШТАБНЫЕ ИНВЕСТИЦИОННЫЕ ПРОЕКТЫ,</w:t>
      </w:r>
    </w:p>
    <w:p w:rsidR="004D67D7" w:rsidRDefault="004D67D7">
      <w:pPr>
        <w:pStyle w:val="ConsPlusTitle"/>
        <w:jc w:val="center"/>
      </w:pPr>
      <w:r>
        <w:t>В ЦЕЛЯХ ПРЕДОСТАВЛЕНИЯ ЗЕМЕЛЬНЫХ УЧАСТКОВ В АРЕНДУ</w:t>
      </w:r>
    </w:p>
    <w:p w:rsidR="004D67D7" w:rsidRDefault="004D67D7">
      <w:pPr>
        <w:pStyle w:val="ConsPlusTitle"/>
        <w:jc w:val="center"/>
      </w:pPr>
      <w:r>
        <w:t>БЕЗ ПРОВЕДЕНИЯ ТОРГОВ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jc w:val="right"/>
      </w:pPr>
      <w:proofErr w:type="gramStart"/>
      <w:r>
        <w:t>Принят</w:t>
      </w:r>
      <w:proofErr w:type="gramEnd"/>
    </w:p>
    <w:p w:rsidR="004D67D7" w:rsidRDefault="004D67D7">
      <w:pPr>
        <w:pStyle w:val="ConsPlusNormal"/>
        <w:jc w:val="right"/>
      </w:pPr>
      <w:r>
        <w:t>Законодательным Собранием</w:t>
      </w:r>
    </w:p>
    <w:p w:rsidR="004D67D7" w:rsidRDefault="004D67D7">
      <w:pPr>
        <w:pStyle w:val="ConsPlusNormal"/>
        <w:jc w:val="right"/>
      </w:pPr>
      <w:r>
        <w:t>Кировской области</w:t>
      </w:r>
    </w:p>
    <w:p w:rsidR="004D67D7" w:rsidRDefault="004D67D7">
      <w:pPr>
        <w:pStyle w:val="ConsPlusNormal"/>
        <w:jc w:val="right"/>
      </w:pPr>
      <w:r>
        <w:t>16 февраля 2017 года</w:t>
      </w:r>
    </w:p>
    <w:p w:rsidR="004D67D7" w:rsidRDefault="004D67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D67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7D7" w:rsidRDefault="004D67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7D7" w:rsidRDefault="004D67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7D7" w:rsidRDefault="004D67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Кировской области</w:t>
            </w:r>
            <w:proofErr w:type="gramEnd"/>
          </w:p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5">
              <w:r>
                <w:rPr>
                  <w:color w:val="0000FF"/>
                </w:rPr>
                <w:t>N 105-ЗО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6">
              <w:r>
                <w:rPr>
                  <w:color w:val="0000FF"/>
                </w:rPr>
                <w:t>N 171-ЗО</w:t>
              </w:r>
            </w:hyperlink>
            <w:r>
              <w:rPr>
                <w:color w:val="392C69"/>
              </w:rPr>
              <w:t xml:space="preserve">, от 09.07.2019 </w:t>
            </w:r>
            <w:hyperlink r:id="rId7">
              <w:r>
                <w:rPr>
                  <w:color w:val="0000FF"/>
                </w:rPr>
                <w:t>N 270-ЗО</w:t>
              </w:r>
            </w:hyperlink>
            <w:r>
              <w:rPr>
                <w:color w:val="392C69"/>
              </w:rPr>
              <w:t>,</w:t>
            </w:r>
          </w:p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8">
              <w:r>
                <w:rPr>
                  <w:color w:val="0000FF"/>
                </w:rPr>
                <w:t>N 442-ЗО</w:t>
              </w:r>
            </w:hyperlink>
            <w:r>
              <w:rPr>
                <w:color w:val="392C69"/>
              </w:rPr>
              <w:t xml:space="preserve">, от 26.05.2022 </w:t>
            </w:r>
            <w:hyperlink r:id="rId9">
              <w:r>
                <w:rPr>
                  <w:color w:val="0000FF"/>
                </w:rPr>
                <w:t>N 80-ЗО</w:t>
              </w:r>
            </w:hyperlink>
            <w:r>
              <w:rPr>
                <w:color w:val="392C69"/>
              </w:rPr>
              <w:t xml:space="preserve">, от 05.10.2022 </w:t>
            </w:r>
            <w:hyperlink r:id="rId10">
              <w:r>
                <w:rPr>
                  <w:color w:val="0000FF"/>
                </w:rPr>
                <w:t>N 115-ЗО</w:t>
              </w:r>
            </w:hyperlink>
            <w:r>
              <w:rPr>
                <w:color w:val="392C69"/>
              </w:rPr>
              <w:t>,</w:t>
            </w:r>
          </w:p>
          <w:p w:rsidR="004D67D7" w:rsidRDefault="004D6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1">
              <w:r>
                <w:rPr>
                  <w:color w:val="0000FF"/>
                </w:rPr>
                <w:t>N 269-ЗО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7D7" w:rsidRDefault="004D67D7">
            <w:pPr>
              <w:pStyle w:val="ConsPlusNormal"/>
            </w:pPr>
          </w:p>
        </w:tc>
      </w:tr>
    </w:tbl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bookmarkStart w:id="0" w:name="P24"/>
      <w:bookmarkEnd w:id="0"/>
      <w:r>
        <w:t>Статья 1. Предмет регулирования настоящего Закона</w:t>
      </w:r>
    </w:p>
    <w:p w:rsidR="004D67D7" w:rsidRDefault="004D67D7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proofErr w:type="gramStart"/>
      <w:r>
        <w:t xml:space="preserve">Настоящим Законом в целях реализации положений </w:t>
      </w:r>
      <w:hyperlink r:id="rId13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государственной или муниципальной собственности, в аренду без проведения торгов в соответствии с правовым актом Губернатора Кировской области.</w:t>
      </w:r>
      <w:proofErr w:type="gramEnd"/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 xml:space="preserve">1. Предоставление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социально-культурного назначения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2) объект социально-культурного назначения относится к сфере образования, культуры, здравоохранения, физической культуры и спорта, организации отдыха граждан и туризма, социального обеспечения;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3) общий объем капитальных вложений в создание (реконструкцию) объекта социально-культурного назначения не менее 5 миллионов рублей.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lastRenderedPageBreak/>
        <w:t xml:space="preserve">2. Предоставление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допускается при условии соответствия объекта коммунально-бытового назначения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1) объект соответствует приоритетам и целям, определенным в документах стратегического планирования Кировской области, муниципальных образований в Кировской области;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2) объект коммунально-бытового назначения относится к сфере электроэнергетики, теплоснабжения (в том числе газоснабжения и биоэнергетики), водоснабжения, водоотведения, к сфере обращения с отходами;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3) общий объем капитальных вложений в создание (реконструкцию) объекта коммунально-бытового назначения составляет не менее 10 миллионов рублей.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 xml:space="preserve">1. Для признания инвестиционного проекта масштабным инвестиционным проектом и предоставления для его реализации земельного участка, указанного в </w:t>
      </w:r>
      <w:hyperlink w:anchor="P24">
        <w:r>
          <w:rPr>
            <w:color w:val="0000FF"/>
          </w:rPr>
          <w:t>статье 1</w:t>
        </w:r>
      </w:hyperlink>
      <w:r>
        <w:t xml:space="preserve"> настоящего Закона, в аренду без проведения торгов данный проект должен соответствовать критериям, установленным </w:t>
      </w:r>
      <w:hyperlink w:anchor="P43">
        <w:r>
          <w:rPr>
            <w:color w:val="0000FF"/>
          </w:rPr>
          <w:t>частями 2</w:t>
        </w:r>
      </w:hyperlink>
      <w:r>
        <w:t xml:space="preserve"> - </w:t>
      </w:r>
      <w:hyperlink w:anchor="P78">
        <w:r>
          <w:rPr>
            <w:color w:val="0000FF"/>
          </w:rPr>
          <w:t>7</w:t>
        </w:r>
      </w:hyperlink>
      <w:r>
        <w:t xml:space="preserve"> настоящей статьи (по типам проекта).</w:t>
      </w:r>
    </w:p>
    <w:p w:rsidR="004D67D7" w:rsidRDefault="004D67D7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Инвестиционный прое</w:t>
      </w:r>
      <w:proofErr w:type="gramStart"/>
      <w:r>
        <w:t>кт в сф</w:t>
      </w:r>
      <w:proofErr w:type="gramEnd"/>
      <w:r>
        <w:t>ере промышленного производства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проекта, реализуемого на территории сельских поселений, должен составить не менее 10 миллионов рублей, на территории городских поселений - не менее 20 миллионов рублей, на территории городских и муниципальных округов - не менее 30 миллионов рублей;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создание не менее 10 новых рабочих мест на территории сельских поселений, не менее 20 новых рабочих мест на территории городских поселений, не менее 40 новых рабочих мест на территории городских и муниципальных округов или не менее 20 высокопроизводительных рабочих мест, определяемых в соответствии с нормативными правовыми актами Российской Федерации;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proofErr w:type="gramStart"/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1 миллиона рублей в год после выхода на проектную мощность (достижение показателей, предусмотренных заявкой о соответствии инвестиционного проекта критериям, которым должны соответствовать масштабные инвестиционные проекты) для проекта, реализуемого на территории сельских поселений, не менее 3 миллионов рублей в год после выхода на проектную мощность</w:t>
      </w:r>
      <w:proofErr w:type="gramEnd"/>
      <w:r>
        <w:t xml:space="preserve"> для проекта, реализуемого на территории городских поселений, не менее 5 миллионов рублей в год после выхода на проектную мощность для проекта, реализуемого на территории городских и муниципальных округов.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3. Инвестиционный прое</w:t>
      </w:r>
      <w:proofErr w:type="gramStart"/>
      <w:r>
        <w:t>кт в сф</w:t>
      </w:r>
      <w:proofErr w:type="gramEnd"/>
      <w:r>
        <w:t>ере сельского хозяйства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городских и сельских поселений, городских и муниципальных округов, должен составить не менее 10 миллионов рублей;</w:t>
      </w:r>
    </w:p>
    <w:p w:rsidR="004D67D7" w:rsidRDefault="004D67D7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создание не менее 5 новых рабочих мест на территории сельских поселений, не менее 10 новых рабочих мест на территории городских поселений, городских и муниципальных округов.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4. Инвестиционный прое</w:t>
      </w:r>
      <w:proofErr w:type="gramStart"/>
      <w:r>
        <w:t>кт в сф</w:t>
      </w:r>
      <w:proofErr w:type="gramEnd"/>
      <w:r>
        <w:t xml:space="preserve">ере жилищного строительства (за исключением проекта, указанного в </w:t>
      </w:r>
      <w:hyperlink w:anchor="P62">
        <w:r>
          <w:rPr>
            <w:color w:val="0000FF"/>
          </w:rPr>
          <w:t>части 6</w:t>
        </w:r>
      </w:hyperlink>
      <w:r>
        <w:t xml:space="preserve"> настоящей статьи)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строительство объектов социальной инфраструктуры в объеме, необходимом для обеспечения расчетных показателей минимально допустимого уровня обеспеченности территории социальными объектами в рамках реализации масштабного инвестиционного проекта с последующей безвозмездной передачей объектов социальной инфраструктуры в муниципальную собственность. Под социальными объектами понимаются объекты в области образования, в области здравоохранения, в области физической культуры и спорта, в области социального обеспечения, предусмотренные региональными нормативами градостроительного проектирования;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общая площадь жилых помещений, возводимых в рамках реализации проекта, должна быть не менее 1000 квадратных метров.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5. Инвестиционный прое</w:t>
      </w:r>
      <w:proofErr w:type="gramStart"/>
      <w:r>
        <w:t>кт в сф</w:t>
      </w:r>
      <w:proofErr w:type="gramEnd"/>
      <w:r>
        <w:t>ере реновации территории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100 миллионов рублей;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в рамках инвестиционного проекта в собственность Кировской области инвестором безвозмездно должно быть передано не менее 5 процентов от общей площади возводимых объектов недвижимости.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Под реновацией территории в настоящем Законе понимается приспособление территории (земельных участков) под иные виды использования в соответствии с документами территориального планирования или градостроительного зонирования. В территорию, подлежащую реновации, могут включаться неиспользуемые земельные участки, земельные участки, используемые не по целевому назначению, земельные участки, комплексно занятые промышленными, коммунальными, транспортными объектами, объектами капитального строительства, выведенными из эксплуатации.</w:t>
      </w:r>
    </w:p>
    <w:p w:rsidR="004D67D7" w:rsidRDefault="004D67D7">
      <w:pPr>
        <w:pStyle w:val="ConsPlusNormal"/>
        <w:spacing w:before="220"/>
        <w:ind w:firstLine="540"/>
        <w:jc w:val="both"/>
      </w:pPr>
      <w:bookmarkStart w:id="2" w:name="P62"/>
      <w:bookmarkEnd w:id="2"/>
      <w:r>
        <w:t>6. Инвестиционный прое</w:t>
      </w:r>
      <w:proofErr w:type="gramStart"/>
      <w:r>
        <w:t>кт в сф</w:t>
      </w:r>
      <w:proofErr w:type="gramEnd"/>
      <w:r>
        <w:t>ере жилищного строительства, предусматривающий предоставление мер по защите прав пострадавших участников строительства жилья, для реализации которого предоставляется земельный участок в соответствии с законом Кировской области, регулирующим правоотношения по установлению мер по защите пострадавших участников строительства жилья, должен соответствовать одновременно следующим критериям: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Кировской области от 09.11.2017 N 105-ЗО)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предоставление мер по защите прав не менее 15 гражданам - пострадавшим участникам долевого строительства многоквартирных домов на территории Кировской области;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0">
        <w:r>
          <w:rPr>
            <w:color w:val="0000FF"/>
          </w:rPr>
          <w:t>Закон</w:t>
        </w:r>
      </w:hyperlink>
      <w:r>
        <w:t xml:space="preserve"> Кировской области от 09.11.2017 N 105-ЗО;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реализация предусмотренного настоящей частью инвестиционного проекта в обязательном порядке должна предусматривать строительство на предоставляемом земельном участке многоквартирного жилого дома (многоквартирных жилых домов) или дома (домов) блокированной застройки, состоящего (состоящих) из трех и более блоков.</w:t>
      </w:r>
    </w:p>
    <w:p w:rsidR="004D67D7" w:rsidRDefault="004D67D7">
      <w:pPr>
        <w:pStyle w:val="ConsPlusNormal"/>
        <w:jc w:val="both"/>
      </w:pPr>
      <w:r>
        <w:lastRenderedPageBreak/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Кировской области от 13.07.2018 N 171-ЗО; в ред. </w:t>
      </w:r>
      <w:hyperlink r:id="rId22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4D67D7" w:rsidRDefault="004D67D7">
      <w:pPr>
        <w:pStyle w:val="ConsPlusNonformat"/>
        <w:spacing w:before="200"/>
        <w:jc w:val="both"/>
      </w:pPr>
      <w:r>
        <w:t xml:space="preserve">     1</w:t>
      </w:r>
    </w:p>
    <w:p w:rsidR="004D67D7" w:rsidRDefault="004D67D7">
      <w:pPr>
        <w:pStyle w:val="ConsPlusNonformat"/>
        <w:jc w:val="both"/>
      </w:pPr>
      <w:bookmarkStart w:id="3" w:name="P69"/>
      <w:bookmarkEnd w:id="3"/>
      <w:r>
        <w:t xml:space="preserve">    6 .  Инвестиционный  проект  в сфере завершения строительства и ввода </w:t>
      </w:r>
      <w:proofErr w:type="gramStart"/>
      <w:r>
        <w:t>в</w:t>
      </w:r>
      <w:proofErr w:type="gramEnd"/>
    </w:p>
    <w:p w:rsidR="004D67D7" w:rsidRDefault="004D67D7">
      <w:pPr>
        <w:pStyle w:val="ConsPlusNonformat"/>
        <w:jc w:val="both"/>
      </w:pPr>
      <w:r>
        <w:t>эксплуатацию   жилого   дома   (домов),  участники  строительства  которого</w:t>
      </w:r>
    </w:p>
    <w:p w:rsidR="004D67D7" w:rsidRDefault="004D67D7">
      <w:pPr>
        <w:pStyle w:val="ConsPlusNonformat"/>
        <w:jc w:val="both"/>
      </w:pPr>
      <w:r>
        <w:t>(</w:t>
      </w:r>
      <w:proofErr w:type="gramStart"/>
      <w:r>
        <w:t>которых</w:t>
      </w:r>
      <w:proofErr w:type="gramEnd"/>
      <w:r>
        <w:t>)  признаны  пострадавшими  участниками строительства жилья, должен</w:t>
      </w:r>
    </w:p>
    <w:p w:rsidR="004D67D7" w:rsidRDefault="004D67D7">
      <w:pPr>
        <w:pStyle w:val="ConsPlusNonformat"/>
        <w:jc w:val="both"/>
      </w:pPr>
      <w:r>
        <w:t>соответствовать одновременно следующим критериям:</w:t>
      </w:r>
    </w:p>
    <w:p w:rsidR="004D67D7" w:rsidRDefault="004D67D7">
      <w:pPr>
        <w:pStyle w:val="ConsPlusNormal"/>
        <w:ind w:firstLine="540"/>
        <w:jc w:val="both"/>
      </w:pPr>
      <w:r>
        <w:t>- предусматривать обязательство по завершению строительства жилого дома (домов) за счет собственных либо привлеченных средств и вводу его (их) в эксплуатацию;</w:t>
      </w:r>
    </w:p>
    <w:p w:rsidR="004D67D7" w:rsidRDefault="004D67D7">
      <w:pPr>
        <w:pStyle w:val="ConsPlusNormal"/>
        <w:spacing w:before="220"/>
        <w:ind w:firstLine="540"/>
        <w:jc w:val="both"/>
      </w:pPr>
      <w:proofErr w:type="gramStart"/>
      <w:r>
        <w:t>- использование предоставляемого в аренду земельного участка для реализации инвестиционного проекта для строительства многоквартирного жилого дома (домов) или дома (домов) блокированной застройки, состоящего (состоящих) из трех и более блоков, и (или) объектов социально-культурного назначения, относящихся к сфере образования, культуры, здравоохранения, физической культуры и спорта, социального обеспечения, в соответствии с генеральным планом поселения, генеральным планом городского округа.</w:t>
      </w:r>
      <w:proofErr w:type="gramEnd"/>
    </w:p>
    <w:p w:rsidR="004D67D7" w:rsidRDefault="004D67D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Кировской области от 05.10.2022 N 115-ЗО)</w:t>
      </w:r>
    </w:p>
    <w:p w:rsidR="004D67D7" w:rsidRDefault="004D67D7">
      <w:pPr>
        <w:pStyle w:val="ConsPlusNonformat"/>
        <w:jc w:val="both"/>
      </w:pPr>
      <w:r>
        <w:t xml:space="preserve">        1</w:t>
      </w:r>
    </w:p>
    <w:p w:rsidR="004D67D7" w:rsidRDefault="004D67D7">
      <w:pPr>
        <w:pStyle w:val="ConsPlusNonformat"/>
        <w:jc w:val="both"/>
      </w:pPr>
      <w:r>
        <w:t xml:space="preserve">(часть 6  в ред. </w:t>
      </w:r>
      <w:hyperlink r:id="rId24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4D67D7" w:rsidRDefault="004D67D7">
      <w:pPr>
        <w:pStyle w:val="ConsPlusNormal"/>
        <w:ind w:firstLine="540"/>
        <w:jc w:val="both"/>
      </w:pPr>
      <w:bookmarkStart w:id="4" w:name="P78"/>
      <w:bookmarkEnd w:id="4"/>
      <w:r>
        <w:t>7. Инвестиционный проект в иных сферах должен соответствовать одновременно следующим критериям: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общий объем капитальных вложений для инвестиционного проекта, реализуемого на территории Кировской области, должен составить не менее 80 миллионов рублей;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создание не менее 2 новых рабочих мест на территории сельских поселений, не менее 4 новых рабочих мест на территории городских поселений, не менее 10 новых рабочих мест на территории городских и муниципальных округов или не менее 4 высокопроизводительных рабочих мест, определяемых в соответствии с нормативными правовыми актами Российской Федерации;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Кировской области от 02.05.2024 N 269-ЗО)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- инвестиционный проект должен предполагать поступление налоговых доходов в консолидированный бюджет Кировской области в размере не менее 20 миллионов рублей в год после выхода на проектную мощность.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8. Определение размера арендной платы за земельные участки, предназначенные для реализации масштабных инвестиционных проектов, определение цены продажи таких земельных участков после завершения строительства объектов, предусмотренных данными проектами, осуществляется в соответствии с действующим законодательством.</w:t>
      </w:r>
    </w:p>
    <w:p w:rsidR="004D67D7" w:rsidRDefault="004D67D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Кировской области от 13.07.2018 N 171-ЗО)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nformat"/>
        <w:jc w:val="both"/>
      </w:pPr>
      <w:r>
        <w:t xml:space="preserve">             1</w:t>
      </w:r>
    </w:p>
    <w:p w:rsidR="004D67D7" w:rsidRDefault="004D67D7">
      <w:pPr>
        <w:pStyle w:val="ConsPlusNonformat"/>
        <w:jc w:val="both"/>
      </w:pPr>
      <w:r>
        <w:t xml:space="preserve">    Статья  3 .  Порядок  предоставления  земельных  участков в аренду  </w:t>
      </w:r>
      <w:proofErr w:type="gramStart"/>
      <w:r>
        <w:t>без</w:t>
      </w:r>
      <w:proofErr w:type="gramEnd"/>
    </w:p>
    <w:p w:rsidR="004D67D7" w:rsidRDefault="004D67D7">
      <w:pPr>
        <w:pStyle w:val="ConsPlusNonformat"/>
        <w:jc w:val="both"/>
      </w:pPr>
      <w:r>
        <w:t>проведения торгов</w:t>
      </w:r>
    </w:p>
    <w:p w:rsidR="004D67D7" w:rsidRDefault="004D67D7">
      <w:pPr>
        <w:pStyle w:val="ConsPlusNonformat"/>
        <w:jc w:val="both"/>
      </w:pPr>
      <w:r>
        <w:t xml:space="preserve">    (в ред. </w:t>
      </w:r>
      <w:hyperlink r:id="rId27">
        <w:r>
          <w:rPr>
            <w:color w:val="0000FF"/>
          </w:rPr>
          <w:t>Закона</w:t>
        </w:r>
      </w:hyperlink>
      <w:r>
        <w:t xml:space="preserve"> Кировской области от 09.07.2019 N 270-ЗО)</w:t>
      </w:r>
    </w:p>
    <w:p w:rsidR="004D67D7" w:rsidRDefault="004D67D7">
      <w:pPr>
        <w:pStyle w:val="ConsPlusNonformat"/>
        <w:jc w:val="both"/>
      </w:pPr>
    </w:p>
    <w:p w:rsidR="004D67D7" w:rsidRDefault="004D67D7">
      <w:pPr>
        <w:pStyle w:val="ConsPlusNonformat"/>
        <w:jc w:val="both"/>
      </w:pPr>
      <w:r>
        <w:t xml:space="preserve">    Предоставление  юридическим  лицам  земельных  участков,  находящихся </w:t>
      </w:r>
      <w:proofErr w:type="gramStart"/>
      <w:r>
        <w:t>в</w:t>
      </w:r>
      <w:proofErr w:type="gramEnd"/>
    </w:p>
    <w:p w:rsidR="004D67D7" w:rsidRDefault="004D67D7">
      <w:pPr>
        <w:pStyle w:val="ConsPlusNonformat"/>
        <w:jc w:val="both"/>
      </w:pPr>
      <w:r>
        <w:t>государственной  или  муниципальной  собственности, в аренду без проведения</w:t>
      </w:r>
    </w:p>
    <w:p w:rsidR="004D67D7" w:rsidRDefault="004D67D7">
      <w:pPr>
        <w:pStyle w:val="ConsPlusNonformat"/>
        <w:jc w:val="both"/>
      </w:pPr>
      <w:r>
        <w:t xml:space="preserve">торгов  в  соответствии  с  правовым  актом Губернатора Кировской области </w:t>
      </w:r>
      <w:proofErr w:type="gramStart"/>
      <w:r>
        <w:t>в</w:t>
      </w:r>
      <w:proofErr w:type="gramEnd"/>
    </w:p>
    <w:p w:rsidR="004D67D7" w:rsidRDefault="004D67D7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   соответствия   масштабных   инвестиционных   проектов  критериям,</w:t>
      </w:r>
    </w:p>
    <w:p w:rsidR="004D67D7" w:rsidRDefault="004D67D7">
      <w:pPr>
        <w:pStyle w:val="ConsPlusNonformat"/>
        <w:jc w:val="both"/>
      </w:pPr>
      <w:r>
        <w:t xml:space="preserve">                               1</w:t>
      </w:r>
    </w:p>
    <w:p w:rsidR="004D67D7" w:rsidRDefault="004D67D7">
      <w:pPr>
        <w:pStyle w:val="ConsPlusNonformat"/>
        <w:jc w:val="both"/>
      </w:pPr>
      <w:proofErr w:type="gramStart"/>
      <w:r>
        <w:t xml:space="preserve">установленным  </w:t>
      </w:r>
      <w:hyperlink w:anchor="P62">
        <w:r>
          <w:rPr>
            <w:color w:val="0000FF"/>
          </w:rPr>
          <w:t>частями  6</w:t>
        </w:r>
      </w:hyperlink>
      <w:r>
        <w:t xml:space="preserve">  и  </w:t>
      </w:r>
      <w:hyperlink w:anchor="P69">
        <w:r>
          <w:rPr>
            <w:color w:val="0000FF"/>
          </w:rPr>
          <w:t>6  статьи 3</w:t>
        </w:r>
      </w:hyperlink>
      <w:r>
        <w:t xml:space="preserve"> настоящего Закона, осуществляется</w:t>
      </w:r>
      <w:proofErr w:type="gramEnd"/>
    </w:p>
    <w:p w:rsidR="004D67D7" w:rsidRDefault="004D67D7">
      <w:pPr>
        <w:pStyle w:val="ConsPlusNonformat"/>
        <w:jc w:val="both"/>
      </w:pPr>
      <w:r>
        <w:t>после  предоставления  юридическим  лицом  мер  по защите прав пострадавших</w:t>
      </w:r>
    </w:p>
    <w:p w:rsidR="004D67D7" w:rsidRDefault="004D67D7">
      <w:pPr>
        <w:pStyle w:val="ConsPlusNonformat"/>
        <w:jc w:val="both"/>
      </w:pPr>
      <w:r>
        <w:t>участников   строительства   жилья   либо   завершения   юридическим  лицом</w:t>
      </w:r>
    </w:p>
    <w:p w:rsidR="004D67D7" w:rsidRDefault="004D67D7">
      <w:pPr>
        <w:pStyle w:val="ConsPlusNonformat"/>
        <w:jc w:val="both"/>
      </w:pPr>
      <w:r>
        <w:t>строительства и ввода в эксплуатацию жилого дома (домов).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lastRenderedPageBreak/>
        <w:t>Статья 4. Порядок принятия решения о соответствии объектов социально-культурного и коммунально-бытового назначения, масштабных инвестиционных проектов критериям в целях предоставления земельных участков в аренду без проведения торгов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proofErr w:type="gramStart"/>
      <w:r>
        <w:t>Порядок подачи и рассмотрения заявки о соответствии объекта социально-культурного назначения и (или) коммунально-бытового назначения критериям, которым должны соответствовать объекты социально-культурного назначения и объекты коммунально-бытового назначения, инвестиционного проекта критериям, которым должны соответствовать масштабные инвестиционные проекты, а также порядок принятия решения о соответствии объекта социально-культурного назначения, объекта коммунально-бытового назначения, масштабного инвестиционного проекта критериям, установленным настоящим Законом, устанавливается Правительством Кировской области.</w:t>
      </w:r>
      <w:proofErr w:type="gramEnd"/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5. Соглашение о 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создания (реконструкции) объекта социально-культурного и коммунально-бытового назначения, реализации масштабного инвестиционного проекта, а также контроля за соблюдением условий использования (в том числе за соблюдением критериев, установленных настоящим Законом) предоставляемого земельного участка заключается соглашение о взаимодействии между Правительством Кировской области и юридическим лицом, инициировавшим создание (реконструкцию) указанного объекта либо реализацию проекта.</w:t>
      </w:r>
      <w:proofErr w:type="gramEnd"/>
      <w:r>
        <w:t xml:space="preserve"> Указанное соглашение о взаимодействии, в том числе, должно предусматривать порядок и сроки передачи недвижимого имущества в муниципальную собственность либо собственность Кировской области, в случае если такая передача является одним из критериев, предусмотренных настоящим Законом.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В соглашении о взаимодействии может быть предусмотрена передача органами исполнительной власти Кировской области юридическим лицам, инициировавшим создание (реконструкцию) объектов социально-культурного и (или) коммунально-бытового назначения, проектной документации, рабочей документации на условиях компенсации ими затрат на разработку документации.</w:t>
      </w:r>
    </w:p>
    <w:p w:rsidR="004D67D7" w:rsidRDefault="004D67D7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Кировской области от 21.12.2020 N 442-ЗО; в ред. </w:t>
      </w:r>
      <w:hyperlink r:id="rId29">
        <w:r>
          <w:rPr>
            <w:color w:val="0000FF"/>
          </w:rPr>
          <w:t>Закона</w:t>
        </w:r>
      </w:hyperlink>
      <w:r>
        <w:t xml:space="preserve"> Кировской области от 26.05.2022 N 80-ЗО)</w:t>
      </w:r>
    </w:p>
    <w:p w:rsidR="004D67D7" w:rsidRDefault="004D67D7">
      <w:pPr>
        <w:pStyle w:val="ConsPlusNormal"/>
        <w:spacing w:before="220"/>
        <w:ind w:firstLine="540"/>
        <w:jc w:val="both"/>
      </w:pPr>
      <w:r>
        <w:t>2. Порядок заключения соглашения о взаимодействии устанавливается Правительством Кировской области.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jc w:val="right"/>
      </w:pPr>
      <w:proofErr w:type="gramStart"/>
      <w:r>
        <w:t>Вр.и</w:t>
      </w:r>
      <w:proofErr w:type="gramEnd"/>
      <w:r>
        <w:t>.о. Губернатора</w:t>
      </w:r>
    </w:p>
    <w:p w:rsidR="004D67D7" w:rsidRDefault="004D67D7">
      <w:pPr>
        <w:pStyle w:val="ConsPlusNormal"/>
        <w:jc w:val="right"/>
      </w:pPr>
      <w:r>
        <w:t>Кировской области</w:t>
      </w:r>
    </w:p>
    <w:p w:rsidR="004D67D7" w:rsidRDefault="004D67D7">
      <w:pPr>
        <w:pStyle w:val="ConsPlusNormal"/>
        <w:jc w:val="right"/>
      </w:pPr>
      <w:r>
        <w:t>И.В.ВАСИЛЬЕВ</w:t>
      </w:r>
    </w:p>
    <w:p w:rsidR="004D67D7" w:rsidRDefault="004D67D7">
      <w:pPr>
        <w:pStyle w:val="ConsPlusNormal"/>
      </w:pPr>
      <w:r>
        <w:t>г. Киров</w:t>
      </w:r>
    </w:p>
    <w:p w:rsidR="004D67D7" w:rsidRDefault="004D67D7">
      <w:pPr>
        <w:pStyle w:val="ConsPlusNormal"/>
        <w:spacing w:before="220"/>
      </w:pPr>
      <w:r>
        <w:t>6 марта 2017 года</w:t>
      </w:r>
    </w:p>
    <w:p w:rsidR="004D67D7" w:rsidRDefault="004D67D7">
      <w:pPr>
        <w:pStyle w:val="ConsPlusNormal"/>
        <w:spacing w:before="220"/>
      </w:pPr>
      <w:r>
        <w:t>N 51-ЗО</w:t>
      </w: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jc w:val="both"/>
      </w:pPr>
    </w:p>
    <w:p w:rsidR="004D67D7" w:rsidRDefault="004D67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A74" w:rsidRDefault="004D67D7"/>
    <w:sectPr w:rsidR="009D4A74" w:rsidSect="00FE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D67D7"/>
    <w:rsid w:val="00172211"/>
    <w:rsid w:val="004D67D7"/>
    <w:rsid w:val="00BA28F9"/>
    <w:rsid w:val="00FA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67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6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67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5570&amp;dst=100008" TargetMode="External"/><Relationship Id="rId13" Type="http://schemas.openxmlformats.org/officeDocument/2006/relationships/hyperlink" Target="https://login.consultant.ru/link/?req=doc&amp;base=LAW&amp;n=454318&amp;dst=470" TargetMode="External"/><Relationship Id="rId18" Type="http://schemas.openxmlformats.org/officeDocument/2006/relationships/hyperlink" Target="https://login.consultant.ru/link/?req=doc&amp;base=RLAW240&amp;n=226356&amp;dst=100012" TargetMode="External"/><Relationship Id="rId26" Type="http://schemas.openxmlformats.org/officeDocument/2006/relationships/hyperlink" Target="https://login.consultant.ru/link/?req=doc&amp;base=RLAW240&amp;n=130717&amp;dst=1000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40&amp;n=130717&amp;dst=100009" TargetMode="External"/><Relationship Id="rId7" Type="http://schemas.openxmlformats.org/officeDocument/2006/relationships/hyperlink" Target="https://login.consultant.ru/link/?req=doc&amp;base=RLAW240&amp;n=143722&amp;dst=100008" TargetMode="External"/><Relationship Id="rId12" Type="http://schemas.openxmlformats.org/officeDocument/2006/relationships/hyperlink" Target="https://login.consultant.ru/link/?req=doc&amp;base=RLAW240&amp;n=143722&amp;dst=100009" TargetMode="External"/><Relationship Id="rId17" Type="http://schemas.openxmlformats.org/officeDocument/2006/relationships/hyperlink" Target="https://login.consultant.ru/link/?req=doc&amp;base=RLAW240&amp;n=226356&amp;dst=100011" TargetMode="External"/><Relationship Id="rId25" Type="http://schemas.openxmlformats.org/officeDocument/2006/relationships/hyperlink" Target="https://login.consultant.ru/link/?req=doc&amp;base=RLAW240&amp;n=226356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6356&amp;dst=100009" TargetMode="External"/><Relationship Id="rId20" Type="http://schemas.openxmlformats.org/officeDocument/2006/relationships/hyperlink" Target="https://login.consultant.ru/link/?req=doc&amp;base=RLAW240&amp;n=121386&amp;dst=100025" TargetMode="External"/><Relationship Id="rId29" Type="http://schemas.openxmlformats.org/officeDocument/2006/relationships/hyperlink" Target="https://login.consultant.ru/link/?req=doc&amp;base=RLAW240&amp;n=18931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30717&amp;dst=100008" TargetMode="External"/><Relationship Id="rId11" Type="http://schemas.openxmlformats.org/officeDocument/2006/relationships/hyperlink" Target="https://login.consultant.ru/link/?req=doc&amp;base=RLAW240&amp;n=226356&amp;dst=100008" TargetMode="External"/><Relationship Id="rId24" Type="http://schemas.openxmlformats.org/officeDocument/2006/relationships/hyperlink" Target="https://login.consultant.ru/link/?req=doc&amp;base=RLAW240&amp;n=130717&amp;dst=100011" TargetMode="External"/><Relationship Id="rId5" Type="http://schemas.openxmlformats.org/officeDocument/2006/relationships/hyperlink" Target="https://login.consultant.ru/link/?req=doc&amp;base=RLAW240&amp;n=121386&amp;dst=100021" TargetMode="External"/><Relationship Id="rId15" Type="http://schemas.openxmlformats.org/officeDocument/2006/relationships/hyperlink" Target="https://login.consultant.ru/link/?req=doc&amp;base=RLAW240&amp;n=226356&amp;dst=100009" TargetMode="External"/><Relationship Id="rId23" Type="http://schemas.openxmlformats.org/officeDocument/2006/relationships/hyperlink" Target="https://login.consultant.ru/link/?req=doc&amp;base=RLAW240&amp;n=195417&amp;dst=100035" TargetMode="External"/><Relationship Id="rId28" Type="http://schemas.openxmlformats.org/officeDocument/2006/relationships/hyperlink" Target="https://login.consultant.ru/link/?req=doc&amp;base=RLAW240&amp;n=165570&amp;dst=100008" TargetMode="External"/><Relationship Id="rId10" Type="http://schemas.openxmlformats.org/officeDocument/2006/relationships/hyperlink" Target="https://login.consultant.ru/link/?req=doc&amp;base=RLAW240&amp;n=195417&amp;dst=100033" TargetMode="External"/><Relationship Id="rId19" Type="http://schemas.openxmlformats.org/officeDocument/2006/relationships/hyperlink" Target="https://login.consultant.ru/link/?req=doc&amp;base=RLAW240&amp;n=121386&amp;dst=10002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189317&amp;dst=100008" TargetMode="External"/><Relationship Id="rId14" Type="http://schemas.openxmlformats.org/officeDocument/2006/relationships/hyperlink" Target="https://login.consultant.ru/link/?req=doc&amp;base=RLAW240&amp;n=226356&amp;dst=100009" TargetMode="External"/><Relationship Id="rId22" Type="http://schemas.openxmlformats.org/officeDocument/2006/relationships/hyperlink" Target="https://login.consultant.ru/link/?req=doc&amp;base=RLAW240&amp;n=195417&amp;dst=100034" TargetMode="External"/><Relationship Id="rId27" Type="http://schemas.openxmlformats.org/officeDocument/2006/relationships/hyperlink" Target="https://login.consultant.ru/link/?req=doc&amp;base=RLAW240&amp;n=143722&amp;dst=1000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2024-06-17T08:57:00Z</dcterms:created>
  <dcterms:modified xsi:type="dcterms:W3CDTF">2024-06-17T08:58:00Z</dcterms:modified>
</cp:coreProperties>
</file>