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75771D">
        <w:rPr>
          <w:rFonts w:ascii="Times New Roman" w:hAnsi="Times New Roman" w:cs="Times New Roman"/>
          <w:sz w:val="24"/>
          <w:szCs w:val="24"/>
        </w:rPr>
        <w:t>29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703F" w:rsidRPr="00CF703F" w:rsidRDefault="00CF703F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F703F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 «</w:t>
      </w:r>
      <w:r w:rsidRPr="00CF703F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деда Кузьмы Николаевича Казанцева (1811-1884 гг.)», входящего в состав объекта культурного наследия (памятника истории и культуры) народов Российской Федерации федерального значения</w:t>
      </w:r>
      <w:r w:rsidRPr="00CF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03F">
        <w:rPr>
          <w:rFonts w:ascii="Times New Roman" w:hAnsi="Times New Roman" w:cs="Times New Roman"/>
          <w:bCs/>
          <w:sz w:val="24"/>
          <w:szCs w:val="24"/>
        </w:rPr>
        <w:t>«Могилы родственников С.М. Кирова»</w:t>
      </w:r>
      <w:proofErr w:type="gramEnd"/>
    </w:p>
    <w:p w:rsidR="00032B65" w:rsidRPr="0075771D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5771D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03F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2025-09-16T07:36:00Z</dcterms:created>
  <dcterms:modified xsi:type="dcterms:W3CDTF">2025-09-16T07:36:00Z</dcterms:modified>
</cp:coreProperties>
</file>