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1072F2">
        <w:rPr>
          <w:rFonts w:ascii="Times New Roman" w:hAnsi="Times New Roman" w:cs="Times New Roman"/>
          <w:sz w:val="24"/>
          <w:szCs w:val="24"/>
        </w:rPr>
        <w:t>11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1072F2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1072F2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области </w:t>
      </w:r>
      <w:r w:rsidR="005B0D53" w:rsidRPr="005B0D53">
        <w:rPr>
          <w:rFonts w:ascii="Times New Roman" w:hAnsi="Times New Roman" w:cs="Times New Roman"/>
          <w:sz w:val="24"/>
          <w:szCs w:val="24"/>
        </w:rPr>
        <w:t>«</w:t>
      </w:r>
      <w:r w:rsidR="001072F2" w:rsidRPr="001072F2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«Входной павильон», входящего в состав объекта культурного наследия (памятника истории и культуры) народов Российской Федерации федерального </w:t>
      </w:r>
      <w:r w:rsidR="001072F2">
        <w:rPr>
          <w:rFonts w:ascii="Times New Roman" w:hAnsi="Times New Roman" w:cs="Times New Roman"/>
          <w:sz w:val="24"/>
          <w:szCs w:val="24"/>
        </w:rPr>
        <w:t>значения «Парковые сооружения».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072F2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11" w:rsidRDefault="00753E11" w:rsidP="002425C0">
      <w:pPr>
        <w:spacing w:after="0" w:line="240" w:lineRule="auto"/>
      </w:pPr>
      <w:r>
        <w:separator/>
      </w:r>
    </w:p>
  </w:endnote>
  <w:endnote w:type="continuationSeparator" w:id="1">
    <w:p w:rsidR="00753E11" w:rsidRDefault="00753E1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11" w:rsidRDefault="00753E11" w:rsidP="002425C0">
      <w:pPr>
        <w:spacing w:after="0" w:line="240" w:lineRule="auto"/>
      </w:pPr>
      <w:r>
        <w:separator/>
      </w:r>
    </w:p>
  </w:footnote>
  <w:footnote w:type="continuationSeparator" w:id="1">
    <w:p w:rsidR="00753E11" w:rsidRDefault="00753E1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2F2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53E11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770AF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2025-01-29T08:27:00Z</dcterms:modified>
</cp:coreProperties>
</file>