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</w:p>
    <w:p>
      <w:pPr>
        <w:widowControl w:val="0"/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>
      <w:pPr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</w:p>
    <w:p>
      <w:pPr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Правительства                                    </w:t>
      </w:r>
    </w:p>
    <w:p>
      <w:pPr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Кировской области</w:t>
      </w:r>
    </w:p>
    <w:p>
      <w:pPr>
        <w:spacing w:after="0" w:line="240" w:lineRule="auto"/>
        <w:ind w:firstLine="510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                         №</w:t>
      </w:r>
    </w:p>
    <w:p>
      <w:pPr>
        <w:pStyle w:val="ConsPlusNormal"/>
        <w:jc w:val="center"/>
        <w:rPr>
          <w:rFonts w:ascii="Times New Roman" w:hAnsi="Times New Roman" w:cs="Times New Roman"/>
          <w:sz w:val="48"/>
          <w:szCs w:val="4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ГОСУДАРСТВЕННАЯ ПРОГРАММА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Кировской области «Инвестиционный климат»</w:t>
      </w:r>
    </w:p>
    <w:p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>
      <w:pPr>
        <w:pStyle w:val="ConsPlus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Стратегические приоритеты и цели государственной политики </w:t>
      </w:r>
      <w:r>
        <w:rPr>
          <w:rFonts w:ascii="Times New Roman" w:hAnsi="Times New Roman" w:cs="Times New Roman"/>
          <w:b/>
          <w:sz w:val="28"/>
        </w:rPr>
        <w:br/>
        <w:t>в сфере реализации государственной программы Кировской области «Инвестиционный климат»</w:t>
      </w:r>
    </w:p>
    <w:p>
      <w:pPr>
        <w:pStyle w:val="ConsPlusNormal"/>
        <w:jc w:val="both"/>
        <w:outlineLvl w:val="0"/>
        <w:rPr>
          <w:rFonts w:ascii="Times New Roman" w:hAnsi="Times New Roman" w:cs="Times New Roman"/>
          <w:sz w:val="48"/>
          <w:szCs w:val="48"/>
        </w:rPr>
      </w:pPr>
    </w:p>
    <w:p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Оценка текущего состояния сферы реализации Государственной               программы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Инвестиционный климат в Кировской области является одним из наиболее значимых факторов, способствующих экономическому росту.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благоприятных условий для инвесторов не только влияет на увеличение объемов капитальных вложений, но и стимулирует создание новых рабочих мест, развитие местного бизнеса и повышение конкурентоспособности. Рост инвестиций напрямую влияет на улучшение качества жизни населения, увеличение налоговых поступлений в бюджеты бюджетной системы Российской Федерации. Так, объем налоговых поступлений в бюджеты бюджетной системы Российской Федерации                        в 2024 году по сравнению с 2023 годом увеличился на 17,8% и составил               167 млрд. рублей.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на территории Кировской области были освоены инвестиции в основной капитал в объеме 139,2 млрд. рублей, индекс физического объема (далее – ИФО) составил 112,9% к 2023 году. 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Наибольшую долю общего объема инвестиционных вложений освоили предприятия среднего и крупного бизнеса. Объем средств,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направленных ими на инвестирование, составил 100,7 млрд. рублей, что составило 113,4%  к уровню 2023 года.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объем инвестиций в 2024 году по крупным и средним организациям приходится на следующие разделы Общероссийского классификатора видов экономической деятельности: 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«Обрабатывающие производства» (32,5 млрд. рублей, доля в общем объеме инвестиций – 32,2%, ИФО – 116,6%);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«Обеспечение электрической энергией, газом и паром» (15,7 млрд. рублей, доля в общем объеме инвестиций – 15,6%, ИФО – 99,3%);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«Транспортировка и хранение» (14,6 млрд. рублей, доля в общем объеме инвестиций – 14,5%, ИФО – 121,8%);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«Сельское, лесное хозяйство, охота, рыболовство и рыбоводство»           (10,3 млрд. рублей, доля в общем объеме инвестиций – 10,2%, ИФО – 98,9%);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«Деятельность по операциям с недвижимым имуществом» </w:t>
      </w:r>
      <w:r>
        <w:rPr>
          <w:rFonts w:ascii="Times New Roman" w:hAnsi="Times New Roman" w:cs="Times New Roman"/>
          <w:sz w:val="28"/>
          <w:szCs w:val="28"/>
        </w:rPr>
        <w:br/>
        <w:t>(9,0 млрд. рублей, доля в общем объеме инвестиций – 8,9%, ИФО – 123,6%).</w:t>
      </w:r>
    </w:p>
    <w:p>
      <w:pPr>
        <w:pStyle w:val="ad"/>
        <w:spacing w:before="0" w:line="360" w:lineRule="auto"/>
        <w:ind w:firstLine="709"/>
        <w:rPr>
          <w:color w:val="000000"/>
          <w:szCs w:val="28"/>
          <w:lang w:val="ru-RU"/>
        </w:rPr>
      </w:pPr>
      <w:proofErr w:type="gramStart"/>
      <w:r>
        <w:rPr>
          <w:color w:val="000000"/>
          <w:szCs w:val="28"/>
          <w:lang w:val="ru-RU"/>
        </w:rPr>
        <w:t xml:space="preserve">По итогам 2024 года по ИФО к 2023 году среди субъектов Приволжского федерального округа Кировская область заняла 3 место (после Удмуртской Республики (ИФО – 121,9%), Пермского края (ИФО – 119,5%), опередив регионы-лидеры Приволжского федерального округа, например, Республику Татарстан (ИФО – 112,7%), Республику Башкортостан (ИФО – 109,7%), Оренбургскую область (ИФО – 108%), Нижегородскую область (ИФО – 101,8%). </w:t>
      </w:r>
      <w:proofErr w:type="gramEnd"/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Основной объем инвестиций в о</w:t>
      </w:r>
      <w:r>
        <w:rPr>
          <w:rFonts w:ascii="Times New Roman" w:hAnsi="Times New Roman" w:cs="Times New Roman"/>
          <w:sz w:val="28"/>
          <w:szCs w:val="28"/>
        </w:rPr>
        <w:t>брабатывающем производстве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произведен предприятиями по производству готовых металлических изделий, химических веществ и химических продуктов, пищевых продуктов.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привлечения инвестиций в экономику Правительством Кировской области последовательно осуществляется государственная инвестиционная политика, важнейшим элементом которой является 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благоприятной инвестиционной среды, направленной на снижение инвестиционных рисков, повышение инвестиционного потенциала Кировской области и создание необходимых условий для осуществления инвестиционной деятельности в регионе.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регионе создана специализированная организация по привлечению инвестиций и работе с частными инвесторами – Кировское областное государственное казенное учреждение «Агентство инвестиционного развития Кировской области» (далее – Агентство), которое на безвозмездной основе сопровождает инвестиционные проекты по принципу «одного окна». На сопровождении Агентства находятся 114 инвестиционных проектов на общую сумму 77 млрд. рублей.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 инвестиционного развития Кировской области на территории Кировской области обеспечиваются: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лучших практик формирования благоприятного инвестиционного климата;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стабильность условий осуществления инвестиционной деятельности;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инвесторам мер государственной поддержки, налоговых преференций и льгот, создание привлекательных условий для ведения предпринимательской деятельности;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институциональной среды для инвесторов;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инфраструктуры, необходимой для реализации инвестиционных проектов;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эффективное сопровождение инвестиционных проектов по принципу «одного окна» на всех этапах их реализации;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перечня приоритетных инвестиционных проектов частных инвесторов;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 развитие преференциальных зон;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частным инвесторам налоговых льгот и преференций.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Региональным законодательством предусмотрено: 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налогоплательщикам инвестиционного налогового вычета по налогу на прибыль организаций в размере 90% суммы расходов на капитальные вложения, произведенные в рамках реализации приоритетных инвестиционных проектов;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освобождение частных инвесторов, инвестиционные проекты которых включены в перечень приоритетных инвестиционных проектов Кировской области, от налога на имущество в отношении предназначенных для реализации инвестиционного проекта вновь построенных, новых приобретенных, реконструированных, модернизированных, введенных в эксплуатацию и принятых к бухгалтерскому учету объектов основных средств.</w:t>
      </w:r>
      <w:proofErr w:type="gramEnd"/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Кировской области созданы и функционируют </w:t>
      </w:r>
      <w:r>
        <w:rPr>
          <w:rFonts w:ascii="Times New Roman" w:hAnsi="Times New Roman"/>
          <w:sz w:val="28"/>
          <w:szCs w:val="28"/>
        </w:rPr>
        <w:br/>
        <w:t xml:space="preserve">две территории опережающего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«Белая Холуница» и «Вятские Поляны». </w:t>
      </w:r>
      <w:r>
        <w:rPr>
          <w:rFonts w:ascii="Times New Roman" w:hAnsi="Times New Roman"/>
          <w:sz w:val="28"/>
          <w:szCs w:val="28"/>
        </w:rPr>
        <w:t xml:space="preserve">Резидентам данных территорий опережающего </w:t>
      </w:r>
      <w:r>
        <w:rPr>
          <w:rFonts w:ascii="Times New Roman" w:hAnsi="Times New Roman" w:cs="Times New Roman"/>
          <w:sz w:val="28"/>
          <w:szCs w:val="28"/>
        </w:rPr>
        <w:t>социально-экономического развития</w:t>
      </w:r>
      <w:r>
        <w:rPr>
          <w:rFonts w:ascii="Times New Roman" w:hAnsi="Times New Roman"/>
          <w:sz w:val="28"/>
          <w:szCs w:val="28"/>
        </w:rPr>
        <w:t xml:space="preserve"> предоставляются налоговые преференции.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имеет четкие приоритеты социально-экономического развития, выступает гарантом для инвесторов. Это становится дополнительным стимулом для инвестиций в долгосрочные проекты, в том числе инфраструктурные проекты.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Кировской области сформирована эффективная система развития и стимулирования инвестиционной деятельности. С одной стороны законодательные и организационные меры региональной власти достаточны для стимулирования инвестиций, с другой стороны не создают барьеры и избыточное давление на действия инвестора.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регионе реализуется система поддержки инвестиционных проектов в субъектах Российской Федерации («Региональный инвестиционный стандарт») (далее – Стандарт). В Кировской области внедрены все 5 элементов Стандарта: инвестиционная декларация Кировской области, инвестиционный комитет Кировской области, </w:t>
      </w:r>
      <w:r>
        <w:rPr>
          <w:rFonts w:ascii="Times New Roman" w:hAnsi="Times New Roman" w:cs="Times New Roman"/>
          <w:sz w:val="28"/>
          <w:szCs w:val="28"/>
        </w:rPr>
        <w:lastRenderedPageBreak/>
        <w:t>Агентство, свод инвестиционных правил Кировской области, инвестиционная карта Кировской области.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постоянной основе совместно с представителями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осуществляется работа по совершенствованию в Кировской области элементов Стандарта.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механизмом регулирования инвестиционной деятельности является регуляторная политика, инструментами которой являются: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регулирующего воздействия (далее – ОРВ) нормативных правовых актов Кировской области, позволяющая своевременно выявлять в указанных проектах избыточные требования и ограничения;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органами исполнительной власти Кировской области контрольной (надзорной) деятельности с учетом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инструментов, влияющим на повышение инвестиционной привлекательности Кировской области, является развитие внешнеэкономической деятельности. 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в Кировской области действуют международные соглашения с административно-территориальными образованиями следующих иностранных государств: Республики Беларусь, Республики Армения, Республики Узбекистан, Китайской Народной Республики, Республики Казахстан, Республики Таджикистан. В рамках указанных соглашений осуществляется комплекс мероприятий, направленных на укрепление и расширение двусторонних торгово-экономических, социально-культурных и гуманитарных связей. 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2024 года внешнеторговыми партнерами Кировской области являлись 100 стран. Сохранилась устойчивая ориентация на страны дальнего зарубежья, на долю которых пришлось 77,9% от общего внешнеторгового оборота Кировской области, на долю стран Содружества Независимых Госуда</w:t>
      </w:r>
      <w:proofErr w:type="gramStart"/>
      <w:r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ишлось 22,1% от общего внешнеторгового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оборота Кировской области. Структура экспорта имеет ярко выраженную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направленность.</w:t>
      </w:r>
    </w:p>
    <w:p>
      <w:pPr>
        <w:spacing w:after="0" w:line="360" w:lineRule="auto"/>
        <w:ind w:right="-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Потенциально перспективными зарубежными экспортными рынками для Кировской области являются рынки Китайской Народной Республики, Республики Индия, стран Содружества Независимых Государств, Африки, Юго-Восточной Азии, Ближнего Востока, Латинской Америки. 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показателем, отражающим итоги системной работы по улучшению инвестиционного климата в регионе, являются результаты Кировской области в Национальном рейтинге состояния инвестиционного климата в субъектах Российской Федерации (далее – Национальный рейтинг), который формируется автономной некоммерческой организацией «Агентство стратегических инициатив по продвижению новых проектов». Цель Национального рейтинга – оценить усилия органов власти всех уровней по созданию благоприятных условий ведения бизнеса через выявление лучших практик и региональных команд по работе с инвесторами в регионах, создание системы стимулов для органов власти в регионах. Данный рейтинг формируется на основе различных показателей, таких как уровень налоговой нагрузки, качество инфраструктуры, доступность финансовых ресурсов, административные барьеры и другие факторы, влияющие на ведение бизнеса.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Национальном рейтинге 2024 года, субъекты Российской Федерации распределены по 36 местам. Кировская область вошла в группу с 30 местом. Сравнительный анализ результатов Национального рейтинга за 2024 и 2023 годы показал, что Кировская область в 2024 году улучшила значения 40 показателей из 70 показателей.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Высокая позиция субъекта Российской Федерации в Национальном рейтинге свидетельствует о благоприятных условиях для ведения бизнеса, как следствие, может привлечь в регион как отечественных, так и иностранных инвесторов. Регион с высокой позицией в Национальном </w:t>
      </w:r>
      <w:r>
        <w:rPr>
          <w:rFonts w:ascii="Times New Roman" w:hAnsi="Times New Roman" w:cs="Times New Roman"/>
          <w:sz w:val="28"/>
          <w:szCs w:val="28"/>
        </w:rPr>
        <w:lastRenderedPageBreak/>
        <w:t>рейтинге может быть воспринят инвесторами как более стабильный и предсказуемый для осуществления долгосрочных инвестиций.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целях достижения национальной цели по увеличению к 2030 году объема инвестиций в основной капитал не менее чем на 60 процентов по сравнению с уровнем 2020 года за счет постоянного улучшения инвестиционного климата Министерством экономического развития Российской Федерации совместно с АНО «Агентство стратегических инициатив по продвижению новых проектов» разработана Национальная модель целевых условий ведения бизнеса (далее – Национальная модель), которая представляет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 систему ключевых показателей регионов в сфере улучшения делового климата на основе анализа лучших региональных практик лидирующих регионов Национального рейтинга. 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ориентира по созданию благоприятного инвестиционного климата в Кировской области определены ключевые показатели Национальной модели. 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регион заинтересован в привлечении как российских, так и иностранных инвестиций, направленных на развитие производственной и социальной инфраструктуры региона, в первую очередь перерабатывающих производств, создание новых рабочих мест и использование новых технологий, позволяющих выпускать конкурентоспособную продукцию с высокой добавленной стоимостью.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Большинство инвестиционных проектов на территории Кировской области планируются к реализации в отраслях сельского хозяйства, лесопереработки, машиностроения, химического производства, производства лекарственных средств и материалов, а также энергетики.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наиболее перспективных направлений инвестирования, в том числе с использованием иностранного капитала, можно выделить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лесоперерабатывающее производство, в том числе производство по переработке низкосортной древесины;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химическая и нефтехимическая промышленность;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машиностроение, в том числе станкостроение;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фармацевтическая промышленность;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агропромышленный комплекс, в том числе переработка молока;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цемента.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Описание приоритетов и целей государственной политики в                          сфере реализации Государственной программы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Приоритеты государственной политики в сфере реализации Государственной программы сформированы на основе положений: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07.05.2024 № 309                 «О национальных целях развития Российской Федерации на период до 2030 года и на перспективу до 2036 года»;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 Президента Российской Федерации от 28.11.2024 № 1014                  «Об оценке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деятельности исполнительных органов субъектов Российской Федерации»;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15.04.2014                   № 316 «Об утверждении государственной программы Российской Федерации «Экономическое развитие и инновационная экономика»;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Правительства Кировской области от 25.11.2024 № 301 «Об утверждении Стратегии социально-экономического развития Кировской области на период до 2036 года».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Государственной программы являются: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значения темпа роста (индекса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 2030 году по отношению                      к 2020 году не ниже 165%;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значения реального роста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неэнергетического экспорта в 2030 году по отношению к 2023 году не ниже 166,7%.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программы оказывает влияние                                на достижение: национальной цели развития Российской Федерации «Устойчивая и динамичная экономика», определенной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07.05.2024 № 309 «О национальных целях развития Российской Федерации на период до 2030 года и на перспективу                          до 2036 года».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Приоритетными направлениями реализации Государственной программы, соответствующими приоритетам и направлениям стратегии социально-экономического развития Кировской области, являются: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стимулирование инвестиционной деятельности на территории Кировской области;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институтов продвижения экспорта в Кировской области, в том числе для малого и среднего предпринимательства;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мер поддержки экспорта с учетом изменившихся внешнеэкономических условий и создание новых механизмов продвижения продукции Кировской области на рынки дружественных стран;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ключевых показателей Национальной модели;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деловой среды, в том числе выстраивание коммуникаций между предпринимательским сообществом и региональной властью, направленных на формирование и практическую реализацию инвестиционной политики в регионе;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 к стимулированию инвестиционной деятельности;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прав субъектов предпринимательской и инвестиционной деятельности;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стабильность правовых условий ведения бизнеса на территории Кировской области;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территорий с особыми условиями ведения экономической деятельности.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3. Задачи государственной политики в сфере реализации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Государственной программы</w:t>
      </w:r>
    </w:p>
    <w:p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Для достижения целей Государственной программы требуется решение следующих задач: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создание благоприятного инвестиционного климата в Кировской области;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оказание содействия в реализации инвестиционных проектов, включая финансовую, имущественную, консультационную поддержку, а также сопровождение инвестиционных проектов по принципу «одного окна»;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развитие системы поддержки инвестиционных проектов в субъектах Российской Федерации («Регионального инвестиционного стандарта»);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стандарта по обеспечению благоприятных условий для развития экспортной деятельности в Кировской области (Региональный экспортный стандарт 2.0);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создание условий для развития международных и межрегиональных связей Кировской области;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>сокращение инвестиционного цикла инвестиционных проектов, реализуемых в Кировской области.</w:t>
      </w:r>
    </w:p>
    <w:p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lang w:eastAsia="ru-RU"/>
        </w:rPr>
        <w:t xml:space="preserve">В результате реализации Государственной программы будет поддерживаться благоприятный инвестиционный климат, увеличится объем инвестиций в основной капитал и объем </w:t>
      </w:r>
      <w:proofErr w:type="spellStart"/>
      <w:r>
        <w:rPr>
          <w:rFonts w:ascii="Times New Roman" w:eastAsiaTheme="minorEastAsia" w:hAnsi="Times New Roman" w:cs="Times New Roman"/>
          <w:sz w:val="28"/>
          <w:lang w:eastAsia="ru-RU"/>
        </w:rPr>
        <w:t>несырьевого</w:t>
      </w:r>
      <w:proofErr w:type="spellEnd"/>
      <w:r>
        <w:rPr>
          <w:rFonts w:ascii="Times New Roman" w:eastAsiaTheme="minorEastAsia" w:hAnsi="Times New Roman" w:cs="Times New Roman"/>
          <w:sz w:val="28"/>
          <w:lang w:eastAsia="ru-RU"/>
        </w:rPr>
        <w:t xml:space="preserve"> неэнергетического экспорта, что будет способствовать устойчивому экономическому развитию и повышению уровня жизни населения Кировской области.</w:t>
      </w:r>
    </w:p>
    <w:p>
      <w:pPr>
        <w:pStyle w:val="ConsPlusNormal"/>
        <w:ind w:firstLine="709"/>
        <w:jc w:val="both"/>
      </w:pPr>
    </w:p>
    <w:sectPr>
      <w:headerReference w:type="default" r:id="rId11"/>
      <w:pgSz w:w="11905" w:h="16838"/>
      <w:pgMar w:top="1134" w:right="992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9063"/>
      <w:docPartObj>
        <w:docPartGallery w:val="Page Numbers (Top of Page)"/>
        <w:docPartUnique/>
      </w:docPartObj>
    </w:sdtPr>
    <w:sdtContent>
      <w:p>
        <w:pPr>
          <w:pStyle w:val="a9"/>
          <w:jc w:val="center"/>
        </w:pPr>
        <w:fldSimple w:instr=" PAGE   \* MERGEFORMAT ">
          <w:r>
            <w:rPr>
              <w:noProof/>
            </w:rPr>
            <w:t>10</w:t>
          </w:r>
        </w:fldSimple>
      </w:p>
    </w:sdtContent>
  </w:sdt>
  <w:p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hd w:val="clear" w:color="auto" w:fill="FFFFFF"/>
      <w:spacing w:before="89" w:after="0" w:line="240" w:lineRule="auto"/>
      <w:ind w:left="4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pPr>
      <w:suppressAutoHyphens/>
      <w:spacing w:after="140"/>
    </w:pPr>
  </w:style>
  <w:style w:type="character" w:customStyle="1" w:styleId="a4">
    <w:name w:val="Основной текст Знак"/>
    <w:basedOn w:val="a0"/>
    <w:link w:val="a3"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7">
    <w:name w:val="List Paragraph"/>
    <w:basedOn w:val="a"/>
    <w:uiPriority w:val="1"/>
    <w:qFormat/>
    <w:pPr>
      <w:widowControl w:val="0"/>
      <w:shd w:val="clear" w:color="auto" w:fill="FFFFFF"/>
      <w:spacing w:after="0" w:line="240" w:lineRule="auto"/>
      <w:ind w:left="724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</w:style>
  <w:style w:type="paragraph" w:customStyle="1" w:styleId="ad">
    <w:name w:val="Абзац с отсуп"/>
    <w:basedOn w:val="a"/>
    <w:uiPriority w:val="99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11">
    <w:name w:val="Абзац1"/>
    <w:basedOn w:val="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BF5B08"/>
    <w:pPr>
      <w:widowControl w:val="0"/>
      <w:shd w:val="clear" w:color="auto" w:fill="FFFFFF"/>
      <w:spacing w:before="89" w:after="0" w:line="240" w:lineRule="auto"/>
      <w:ind w:left="40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1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ody Text"/>
    <w:basedOn w:val="a"/>
    <w:link w:val="a4"/>
    <w:rsid w:val="00AC44CC"/>
    <w:pPr>
      <w:suppressAutoHyphens/>
      <w:spacing w:after="140"/>
    </w:pPr>
  </w:style>
  <w:style w:type="character" w:customStyle="1" w:styleId="a4">
    <w:name w:val="Основной текст Знак"/>
    <w:basedOn w:val="a0"/>
    <w:link w:val="a3"/>
    <w:rsid w:val="00AC44CC"/>
  </w:style>
  <w:style w:type="paragraph" w:styleId="a5">
    <w:name w:val="Balloon Text"/>
    <w:basedOn w:val="a"/>
    <w:link w:val="a6"/>
    <w:uiPriority w:val="99"/>
    <w:semiHidden/>
    <w:unhideWhenUsed/>
    <w:rsid w:val="00D14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45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BF5B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styleId="a7">
    <w:name w:val="List Paragraph"/>
    <w:basedOn w:val="a"/>
    <w:uiPriority w:val="1"/>
    <w:qFormat/>
    <w:rsid w:val="00BF5B08"/>
    <w:pPr>
      <w:widowControl w:val="0"/>
      <w:shd w:val="clear" w:color="auto" w:fill="FFFFFF"/>
      <w:spacing w:after="0" w:line="240" w:lineRule="auto"/>
      <w:ind w:left="724" w:firstLine="707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F5B0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F5B08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9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759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375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A049C-C593-409F-A4EF-A20EEA92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Кривошеина</dc:creator>
  <cp:lastModifiedBy>admin</cp:lastModifiedBy>
  <cp:revision>4</cp:revision>
  <cp:lastPrinted>2025-05-14T15:43:00Z</cp:lastPrinted>
  <dcterms:created xsi:type="dcterms:W3CDTF">2025-05-14T15:56:00Z</dcterms:created>
  <dcterms:modified xsi:type="dcterms:W3CDTF">2025-05-27T13:18:00Z</dcterms:modified>
</cp:coreProperties>
</file>