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0F" w:rsidRDefault="001463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4630F" w:rsidRDefault="0014630F">
      <w:pPr>
        <w:pStyle w:val="ConsPlusNormal"/>
        <w:jc w:val="both"/>
        <w:outlineLvl w:val="0"/>
      </w:pPr>
    </w:p>
    <w:p w:rsidR="0014630F" w:rsidRDefault="001463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4630F" w:rsidRDefault="0014630F">
      <w:pPr>
        <w:pStyle w:val="ConsPlusTitle"/>
        <w:jc w:val="center"/>
      </w:pPr>
    </w:p>
    <w:p w:rsidR="0014630F" w:rsidRDefault="0014630F">
      <w:pPr>
        <w:pStyle w:val="ConsPlusTitle"/>
        <w:jc w:val="center"/>
      </w:pPr>
      <w:r>
        <w:t>ПОСТАНОВЛЕНИЕ</w:t>
      </w:r>
    </w:p>
    <w:p w:rsidR="0014630F" w:rsidRDefault="0014630F">
      <w:pPr>
        <w:pStyle w:val="ConsPlusTitle"/>
        <w:jc w:val="center"/>
      </w:pPr>
      <w:r>
        <w:t>от 11 ноября 2015 г. N 1218</w:t>
      </w:r>
    </w:p>
    <w:p w:rsidR="0014630F" w:rsidRDefault="0014630F">
      <w:pPr>
        <w:pStyle w:val="ConsPlusTitle"/>
        <w:jc w:val="center"/>
      </w:pPr>
    </w:p>
    <w:p w:rsidR="0014630F" w:rsidRDefault="0014630F">
      <w:pPr>
        <w:pStyle w:val="ConsPlusTitle"/>
        <w:jc w:val="center"/>
      </w:pPr>
      <w:r>
        <w:t>О ПОРЯДКЕ</w:t>
      </w:r>
    </w:p>
    <w:p w:rsidR="0014630F" w:rsidRDefault="0014630F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14630F" w:rsidRDefault="0014630F">
      <w:pPr>
        <w:pStyle w:val="ConsPlusTitle"/>
        <w:jc w:val="center"/>
      </w:pPr>
      <w:r>
        <w:t>И КОНТРОЛЯ РЕАЛИЗАЦИИ ПРОГНОЗА СОЦИАЛЬНО-ЭКОНОМИЧЕСКОГО</w:t>
      </w:r>
    </w:p>
    <w:p w:rsidR="0014630F" w:rsidRDefault="0014630F">
      <w:pPr>
        <w:pStyle w:val="ConsPlusTitle"/>
        <w:jc w:val="center"/>
      </w:pPr>
      <w:r>
        <w:t>РАЗВИТИЯ РОССИЙСКОЙ ФЕДЕРАЦИИ НА ДОЛГОСРОЧНЫЙ ПЕРИОД</w:t>
      </w:r>
    </w:p>
    <w:p w:rsidR="0014630F" w:rsidRDefault="001463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463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30F" w:rsidRDefault="001463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30F" w:rsidRDefault="001463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30F" w:rsidRDefault="001463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630F" w:rsidRDefault="001463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5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630F" w:rsidRDefault="00146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6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18.05.2019 </w:t>
            </w:r>
            <w:hyperlink r:id="rId7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24.03.2023 </w:t>
            </w:r>
            <w:hyperlink r:id="rId8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14630F" w:rsidRDefault="00146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19.01.2024 </w:t>
            </w:r>
            <w:hyperlink r:id="rId9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30F" w:rsidRDefault="0014630F">
            <w:pPr>
              <w:pStyle w:val="ConsPlusNormal"/>
            </w:pPr>
          </w:p>
        </w:tc>
      </w:tr>
    </w:tbl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Правительство Российской Федерации постановляет: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2. Министерству экономического развития Российской Федерации в 6-месячный срок разработать и утвердить нормативные правовые акты, необходимые для реализации настоящего постановления.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jc w:val="right"/>
      </w:pPr>
      <w:r>
        <w:t>Председатель Правительства</w:t>
      </w:r>
    </w:p>
    <w:p w:rsidR="0014630F" w:rsidRDefault="0014630F">
      <w:pPr>
        <w:pStyle w:val="ConsPlusNormal"/>
        <w:jc w:val="right"/>
      </w:pPr>
      <w:r>
        <w:t>Российской Федерации</w:t>
      </w:r>
    </w:p>
    <w:p w:rsidR="0014630F" w:rsidRDefault="0014630F">
      <w:pPr>
        <w:pStyle w:val="ConsPlusNormal"/>
        <w:jc w:val="right"/>
      </w:pPr>
      <w:r>
        <w:t>Д.МЕДВЕДЕВ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jc w:val="right"/>
        <w:outlineLvl w:val="0"/>
      </w:pPr>
      <w:r>
        <w:t>Утверждены</w:t>
      </w:r>
    </w:p>
    <w:p w:rsidR="0014630F" w:rsidRDefault="0014630F">
      <w:pPr>
        <w:pStyle w:val="ConsPlusNormal"/>
        <w:jc w:val="right"/>
      </w:pPr>
      <w:r>
        <w:t>постановлением Правительства</w:t>
      </w:r>
    </w:p>
    <w:p w:rsidR="0014630F" w:rsidRDefault="0014630F">
      <w:pPr>
        <w:pStyle w:val="ConsPlusNormal"/>
        <w:jc w:val="right"/>
      </w:pPr>
      <w:r>
        <w:t>Российской Федерации</w:t>
      </w:r>
    </w:p>
    <w:p w:rsidR="0014630F" w:rsidRDefault="0014630F">
      <w:pPr>
        <w:pStyle w:val="ConsPlusNormal"/>
        <w:jc w:val="right"/>
      </w:pPr>
      <w:r>
        <w:t>от 11 ноября 2015 г. N 1218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Title"/>
        <w:jc w:val="center"/>
      </w:pPr>
      <w:bookmarkStart w:id="0" w:name="P32"/>
      <w:bookmarkEnd w:id="0"/>
      <w:r>
        <w:t>ПРАВИЛА</w:t>
      </w:r>
    </w:p>
    <w:p w:rsidR="0014630F" w:rsidRDefault="0014630F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14630F" w:rsidRDefault="0014630F">
      <w:pPr>
        <w:pStyle w:val="ConsPlusTitle"/>
        <w:jc w:val="center"/>
      </w:pPr>
      <w:r>
        <w:t>И КОНТРОЛЯ РЕАЛИЗАЦИИ ПРОГНОЗА СОЦИАЛЬНО-ЭКОНОМИЧЕСКОГО</w:t>
      </w:r>
    </w:p>
    <w:p w:rsidR="0014630F" w:rsidRDefault="0014630F">
      <w:pPr>
        <w:pStyle w:val="ConsPlusTitle"/>
        <w:jc w:val="center"/>
      </w:pPr>
      <w:r>
        <w:t>РАЗВИТИЯ РОССИЙСКОЙ ФЕДЕРАЦИИ НА ДОЛГОСРОЧНЫЙ ПЕРИОД</w:t>
      </w:r>
    </w:p>
    <w:p w:rsidR="0014630F" w:rsidRDefault="001463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463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30F" w:rsidRDefault="001463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30F" w:rsidRDefault="001463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30F" w:rsidRDefault="001463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630F" w:rsidRDefault="001463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1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630F" w:rsidRDefault="00146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12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18.05.2019 </w:t>
            </w:r>
            <w:hyperlink r:id="rId13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24.03.2023 </w:t>
            </w:r>
            <w:hyperlink r:id="rId14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,</w:t>
            </w:r>
          </w:p>
          <w:p w:rsidR="0014630F" w:rsidRDefault="00146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19.01.2024 </w:t>
            </w:r>
            <w:hyperlink r:id="rId15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30F" w:rsidRDefault="0014630F">
            <w:pPr>
              <w:pStyle w:val="ConsPlusNormal"/>
            </w:pPr>
          </w:p>
        </w:tc>
      </w:tr>
    </w:tbl>
    <w:p w:rsidR="0014630F" w:rsidRDefault="0014630F">
      <w:pPr>
        <w:pStyle w:val="ConsPlusNormal"/>
        <w:jc w:val="both"/>
      </w:pPr>
    </w:p>
    <w:p w:rsidR="0014630F" w:rsidRDefault="0014630F">
      <w:pPr>
        <w:pStyle w:val="ConsPlusTitle"/>
        <w:jc w:val="center"/>
        <w:outlineLvl w:val="1"/>
      </w:pPr>
      <w:r>
        <w:t>I. Общие положения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ind w:firstLine="540"/>
        <w:jc w:val="both"/>
      </w:pPr>
      <w:r>
        <w:t>1. Настоящие Правила определяют порядок разработки, корректировки, осуществления мониторинга и контроля реализации прогноза социально-экономического развития Российской Федерации на долгосрочный период (далее - долгосрочный прогноз).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2. Долгосрочный прогноз разрабатывается Министерством экономического развития Российской Федерации каждые 6 лет на 18 лет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исполнительными органами субъектов Российской Федерации и другими участниками стратегического планирования.</w:t>
      </w:r>
    </w:p>
    <w:p w:rsidR="0014630F" w:rsidRDefault="001463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3. К разработке долгосрочного прогноза могут привлекаться объединения профсоюзов и работодателей, государственные корпорации, акционерные общества с государственным участием,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</w:t>
      </w:r>
      <w:hyperlink r:id="rId17">
        <w:r>
          <w:rPr>
            <w:color w:val="0000FF"/>
          </w:rPr>
          <w:t>законом</w:t>
        </w:r>
      </w:hyperlink>
      <w:r>
        <w:t xml:space="preserve"> тайне.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4. Координацию и </w:t>
      </w:r>
      <w:hyperlink r:id="rId18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долгосрочного прогноза осуществляет Министерство экономического развития Российской Федерации.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Материалы для разработки долгосрочного прогноза представляются на бумажных и электронных носителях в соответствии с методическими рекомендациями по разработке и корректировке долгосрочного прогноза, утверждаемыми Министерством экономического развития Российской Федерации.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5. Разработка долгосрочного прогноза осуществляется в 2 этапа.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6. На первом этапе Министерство экономического развития Российской Федерации совместно с Министерством финансов Российской Федерации,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 сценарные условия функционирования экономики Российской Федерации на долгосрочный период (далее - сценарные условия) и основные параметры долгосрочного прогноза.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7. Министерство экономического развития Российской Федерации в год разработки долгосрочного прогноза направляет на рассмотрение и согласование в Министерство финансов Российской Федерации, заинтересованные федеральные органы исполнительной власти и Центральный банк Российской </w:t>
      </w:r>
      <w:proofErr w:type="gramStart"/>
      <w:r>
        <w:t>Федерации</w:t>
      </w:r>
      <w:proofErr w:type="gramEnd"/>
      <w:r>
        <w:t xml:space="preserve"> разработанные сценарные условия, основные параметры долгосрочного прогноза не позднее чем за 2 недели до определенного Правительством Российской Федерации дня их представления в Правительство Российской Федерации для рассмотрения и одобрения.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Министерство экономического развития Российской Федерации в год разработки долгосрочного прогноза представляет в Правительство Российской Федерации для рассмотрения и одобрения согласованные с Министерством финансов Российской Федерации, заинтересованными федеральными органами исполнительной власти и Центральным банком Российской Федерации сценарные условия и основные параметры долгосрочного прогноза в течение 20 календарных дней после рассмотрения и одобрения Правительством Российской Федерации сценарных условий и основных параметров прогноза</w:t>
      </w:r>
      <w:proofErr w:type="gramEnd"/>
      <w:r>
        <w:t xml:space="preserve"> социально-экономического развития Российской Федерации на среднесрочный период.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Министерство экономического развития Российской Федерации в 5-дневный срок после рассмотрения и одобрения Правительством Российской Федерации сценарных условий и </w:t>
      </w:r>
      <w:r>
        <w:lastRenderedPageBreak/>
        <w:t>основных параметров долгосрочного прогноза доводит их до сведения федеральных органов исполнительной власти, исполнительных органов субъектов Российской Федерации, Центрального банка Российской Федерации и других участников стратегического планирования для использования при разработке вариантов долгосрочного прогноза по видам экономической деятельности, секторам, сферам экономики и направлениям</w:t>
      </w:r>
      <w:proofErr w:type="gramEnd"/>
      <w:r>
        <w:t xml:space="preserve"> развития, а также размещает в электронной форме на официальном сайте Министерства экономического развития Российской Федерации в информационно-телекоммуникационной сети "Интернет".</w:t>
      </w:r>
    </w:p>
    <w:p w:rsidR="0014630F" w:rsidRDefault="0014630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На втором этапе Министерство экономического развития Российской Федерации совместно с Министерством финансов Российской Федерации,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на основе вариантов долгосрочного прогноза по видам экономической деятельности, секторам, сферам экономики и направлениям развития, а также иных материалов, необходимых для формирования соответствующих разделов долгосрочного прогноза, подготовленных федеральными органами исполнительной</w:t>
      </w:r>
      <w:proofErr w:type="gramEnd"/>
      <w:r>
        <w:t xml:space="preserve"> власти, исполнительными органами субъектов Российской Федерации и другими участниками стратегического планирования на основе сценарных условий и основных параметров долгосрочного прогноза, одобренных Правительством Российской Федерации, разрабатывает долгосрочный прогноз.</w:t>
      </w:r>
    </w:p>
    <w:p w:rsidR="0014630F" w:rsidRDefault="0014630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11. Министерство экономического развития Российской Федерации направляет на рассмотрение и согласование в Министерство финансов Российской Федерации, заинтересованные федеральные органы исполнительной власти и Центральный банк Российской Федерации проект долгосрочного прогноза не </w:t>
      </w:r>
      <w:proofErr w:type="gramStart"/>
      <w:r>
        <w:t>позднее</w:t>
      </w:r>
      <w:proofErr w:type="gramEnd"/>
      <w:r>
        <w:t xml:space="preserve"> чем за 2 недели до определенного Правительством Российской Федерации дня представления его в Правительство Российской Федерации для рассмотрения и утверждения.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12. Министерство экономического развития Российской Федерации до 1 ноября года разработки долгосрочного прогноза представляет проект долгосрочного прогноза в Правительство Российской Федерации для его рассмотрения и утверждения.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Министерство экономического развития Российской Федерации в 5-дневный срок после утверждения Правительством Российской Федерации долгосрочного прогноза (скорректированного долгосрочного прогноза) доводит его до сведения федеральных органов исполнительной власти, исполнительных органов субъектов Российской Федерации, Центрального банка Российской Федерации и других участников стратегического планирования, а также размещает в электронной форме на официальном сайте Министерства экономического развития Российской Федерации в информационно-телекоммуникационной сети "Интернет".</w:t>
      </w:r>
      <w:proofErr w:type="gramEnd"/>
    </w:p>
    <w:p w:rsidR="0014630F" w:rsidRDefault="001463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4630F" w:rsidRDefault="0014630F">
      <w:pPr>
        <w:pStyle w:val="ConsPlusNormal"/>
        <w:spacing w:before="220"/>
        <w:ind w:firstLine="540"/>
        <w:jc w:val="both"/>
      </w:pPr>
      <w:bookmarkStart w:id="1" w:name="P61"/>
      <w:bookmarkEnd w:id="1"/>
      <w:r>
        <w:t>14. Министерством экономического развития Российской Федерации в целях подготовки (корректировки) бюджетного прогноза Российской Федерации на долгосрочный период (изменений бюджетного прогноза Российской Федерации на долгосрочный период) и других документов стратегического планирования на долгосрочный период разрабатываются и ежегодно уточняются: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а) отдельные показатели социально-экономического развития Российской Федерации на 50-летний период;</w:t>
      </w:r>
    </w:p>
    <w:p w:rsidR="0014630F" w:rsidRDefault="0014630F">
      <w:pPr>
        <w:pStyle w:val="ConsPlusNormal"/>
        <w:spacing w:before="220"/>
        <w:ind w:firstLine="540"/>
        <w:jc w:val="both"/>
      </w:pPr>
      <w:proofErr w:type="gramStart"/>
      <w:r>
        <w:t>б) отдельные показатели долгосрочного прогноза с учетом прогноза социально-экономического развития Российской Федерации на среднесрочный период и проекта бюджетного прогноза Российской Федерации на долгосрочный период;</w:t>
      </w:r>
      <w:proofErr w:type="gramEnd"/>
    </w:p>
    <w:p w:rsidR="0014630F" w:rsidRDefault="0014630F">
      <w:pPr>
        <w:pStyle w:val="ConsPlusNormal"/>
        <w:spacing w:before="220"/>
        <w:ind w:firstLine="540"/>
        <w:jc w:val="both"/>
      </w:pPr>
      <w:r>
        <w:lastRenderedPageBreak/>
        <w:t>в) иные показатели по согласованному с Министерством финансов Российской Федерации перечню.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15. Министерство экономического развития Российской Федерации ежегодно, не позднее 25 августа текущего финансового года, направляет в Министерство финансов Российской Федерации показатели, указанные в </w:t>
      </w:r>
      <w:hyperlink w:anchor="P61">
        <w:r>
          <w:rPr>
            <w:color w:val="0000FF"/>
          </w:rPr>
          <w:t>пункте 14</w:t>
        </w:r>
      </w:hyperlink>
      <w:r>
        <w:t xml:space="preserve"> настоящих Правил, перечень которых утверждается совместным приказом Министерства экономического развития Российской Федерации и Министерства финансов Российской Федерации.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16. Субъекты официального статистического учета обеспечивают представление федеральным органам исполнительной власти и исполнительным органам субъектов Российской Федерации необходимой статистической информации в соответствии с федеральным планом статистических работ для подготовки сценарных условий, основных параметров долгосрочного прогноза и долгосрочного прогноза.</w:t>
      </w:r>
    </w:p>
    <w:p w:rsidR="0014630F" w:rsidRDefault="0014630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Title"/>
        <w:jc w:val="center"/>
        <w:outlineLvl w:val="1"/>
      </w:pPr>
      <w:r>
        <w:t>II. Разработка сценарных условий и основных параметров</w:t>
      </w:r>
    </w:p>
    <w:p w:rsidR="0014630F" w:rsidRDefault="0014630F">
      <w:pPr>
        <w:pStyle w:val="ConsPlusTitle"/>
        <w:jc w:val="center"/>
      </w:pPr>
      <w:r>
        <w:t>долгосрочного прогноза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ind w:firstLine="540"/>
        <w:jc w:val="both"/>
      </w:pPr>
      <w:r>
        <w:t>17. В целях подготовки долгосрочного прогноза Министерство экономического развития Российской Федерации совместно с Министерством финансов Российской Федерации, заинтересованными федеральными органами исполнительной власти с участием Центрального банка Российской Федерации и других участников стратегического планирования разрабатывает: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а) сценарные условия, которые содержат наиболее вероятные внешние и внутренние условия и характеристики социально-экономического развития Российской Федерации в долгосрочном периоде, и включают следующие прогнозные показатели: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цены на нефть марки "Urals" (мировые);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цены на природный газ;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темпы роста мировой экономики;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курс евро к доллару США;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курс доллара США к рублю (среднегодовой);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индекс реального эффективного обменного курса рубля;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добычи нефти и природного газа;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экспорт и импорт нефти, нефтепродуктов и природного газа;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экспорт машин, оборудования и транспортных средств;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прогноз инфляции на конец года и в среднем за год;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предельные уровни цен (тарифов) на услуги компаний инфраструктурного сектора;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государственные капитальные вложения;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прямые иностранные инвестиции (методология платежного баланса);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численность населения (в среднегодовом исчислении);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численность населения трудоспособного возраста;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lastRenderedPageBreak/>
        <w:t>численность населения старше трудоспособного возраста;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миграционный прирост;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суммарный коэффициент рождаемости;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общий коэффициент смертности;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ожидаемая продолжительность жизни;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энергоемкость валового внутреннего продукта;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счет текущих операций;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чистый ввоз (вывоз) капитала частным сектором;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изменение валютных резервов;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другие показатели по согласованному с Министерством финансов Российской Федерации перечню;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б) основные параметры, которые содержат соответствующие сценарным условиям и отражающие социально-экономическое развитие Российской Федерации в долгосрочном периоде следующие прогнозируемые количественные характеристики: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и динамика валового внутреннего продукта;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структура использованного и произведенного валового внутреннего продукта;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отгруженной продукции (выполненных работ, оказанных услуг), динамика промышленного производства и производства продукции сельского хозяйства;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динамика цен (тарифов) на товары (услуги);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динамика изменения размера платы граждан за коммунальные услуги;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индексы-дефляторы (индексы цен производителей) по видам экономической деятельности;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добычи угля (по видам) и металлических руд, в том числе облагаемых налогом на добычу полезных ископаемых (с расшифровкой необлагаемого налогом объема);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производства и реализации (с учетом импорта) подакцизной продукции по согласованному с Министерством финансов Российской Федерации перечню;</w:t>
      </w:r>
    </w:p>
    <w:p w:rsidR="0014630F" w:rsidRDefault="0014630F">
      <w:pPr>
        <w:pStyle w:val="ConsPlusNormal"/>
        <w:spacing w:before="220"/>
        <w:ind w:firstLine="540"/>
        <w:jc w:val="both"/>
      </w:pPr>
      <w:proofErr w:type="gramStart"/>
      <w:r>
        <w:t>объем добычи углеводородного сырья (с разбивкой по видам), в том числе объем добычи, облагаемый налогом на добычу полезных ископаемых (с расшифровкой необлагаемого объема, в том числе объема добычи при выполнении соглашений о разделе продукции), из них - объем добычи по новым месторождениям и по месторождениям с выработанностью свыше 80 процентов на участках недр, расположенных полностью или частично в границах Республики Татарстан</w:t>
      </w:r>
      <w:proofErr w:type="gramEnd"/>
      <w:r>
        <w:t xml:space="preserve"> и Республики Башкортостан, объем добычи на континентальном шельфе Российской Федерации, объем добычи налогоплательщиками, являющимися собственниками объектов Единой системы газоснабжения;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балансы по важнейшим видам промышленной и сельскохозяйственной продукции (топливно-энергетический баланс, баланс зерна, баланс черных металлов и другие);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инвестиции в основной капитал за счет всех источников финансирования;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lastRenderedPageBreak/>
        <w:t>динамика производительности труда;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оборот розничной торговли;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платных услуг населению;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численность рабочей силы;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численность </w:t>
      </w:r>
      <w:proofErr w:type="gramStart"/>
      <w:r>
        <w:t>занятых</w:t>
      </w:r>
      <w:proofErr w:type="gramEnd"/>
      <w:r>
        <w:t xml:space="preserve"> в экономике;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общая численность безработных граждан;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уровень безработицы;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фонд заработной платы работников организаций;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номинальная начисленная среднемесячная заработная плата работников организаций;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реальная заработная плата работников организаций;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реальные располагаемые денежные доходы населения;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среднегодовой размер пенсии;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среднесписочная численность работников организаций;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основные показатели платежного баланса;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экспорта и импорта товаров и услуг в стоимостном и количественном выражении, в том числе: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импорта (в стоимостном выражении) из государств - участников СНГ, являющихся государствами - членами Евразийского экономического союза, и стран дальнего зарубежья (в том числе облагаемый налогом объем);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товарная структура импорта в целом по основным товарным группам (в стоимостном выражении и темпы роста физического объема);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импорта потребительских товаров в стоимостном выражении и темпы роста физического объема;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импорта инвестиционных товаров в стоимостном выражении и темпы роста физического объема;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импорта услуг в стоимостном выражении;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экспорта (в стоимостном выражении) в страны дальнего зарубежья и государства - участники СНГ;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товарная структура экспорта в целом по основным товарным группам (в стоимостном выражении и темпы роста физического объема);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экспорта нефти в страны дальнего зарубежья и государства - участники СНГ, нефтепродуктов в страны дальнего зарубежья и государства - участники СНГ и природного газа в страны дальнего зарубежья и государства - участники СНГ, в том числе объем экспорта по магистральному газопроводу "Голубой поток";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объем экспорта услуг в стоимостном выражении;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lastRenderedPageBreak/>
        <w:t>экспорт высокотехнологичной продукции;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другие показатели по согласованному с Министерством финансов Российской Федерации перечню.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18. Сценарные условия и основные параметры долгосрочного прогноза разрабатываются на основе сведений, представляемых в Министерство экономического развития Российской Федерации участниками стратегического планирования в соответствии с настоящими Правилами.</w:t>
      </w:r>
    </w:p>
    <w:p w:rsidR="0014630F" w:rsidRDefault="0014630F">
      <w:pPr>
        <w:pStyle w:val="ConsPlusNormal"/>
        <w:spacing w:before="220"/>
        <w:ind w:firstLine="540"/>
        <w:jc w:val="both"/>
      </w:pPr>
      <w:bookmarkStart w:id="2" w:name="P138"/>
      <w:bookmarkEnd w:id="2"/>
      <w:r>
        <w:t xml:space="preserve">19. </w:t>
      </w:r>
      <w:proofErr w:type="gramStart"/>
      <w:r>
        <w:t>Министерство экономического развития Российской Федерации в целях формирования сценарных условий направляет в заинтересованные федеральные органы исполнительной власти запрос, включающий основные макроэкономические показатели, в том числе цену на нефть марки "Urals" (мировую), курс доллара США к рублю (среднегодовой), прогноз инфляции на конец года и в среднем за год для формирования сценарных условий, основных параметров долгосрочного прогноза и предельных уровней цен (тарифов</w:t>
      </w:r>
      <w:proofErr w:type="gramEnd"/>
      <w:r>
        <w:t>) на услуги компаний инфраструктурного сектора на долгосрочный период.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20. Министерство здравоохранения Российской Федерации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предварительный прогноз основных параметров бюджета Федерального фонда обязательного медицинского страхования на долгосрочный период.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21. Министерство культуры Российской Федерации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прогнозируемых объемов экспорта и импорта туристических поездок и динамики платных туристских услуг на долгосрочный период.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22. Министерство промышленности и торговли Российской Федерации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на долгосрочный период:</w:t>
      </w:r>
    </w:p>
    <w:p w:rsidR="0014630F" w:rsidRDefault="0014630F">
      <w:pPr>
        <w:pStyle w:val="ConsPlusNormal"/>
        <w:spacing w:before="220"/>
        <w:ind w:firstLine="540"/>
        <w:jc w:val="both"/>
      </w:pPr>
      <w:proofErr w:type="gramStart"/>
      <w:r>
        <w:t>а) объемов производства и реализации подакцизной продукции (по согласованному с Министерством финансов Российской Федерации перечню);</w:t>
      </w:r>
      <w:proofErr w:type="gramEnd"/>
    </w:p>
    <w:p w:rsidR="0014630F" w:rsidRDefault="0014630F">
      <w:pPr>
        <w:pStyle w:val="ConsPlusNormal"/>
        <w:spacing w:before="220"/>
        <w:ind w:firstLine="540"/>
        <w:jc w:val="both"/>
      </w:pPr>
      <w:r>
        <w:t>б) объемов добычи металлических руд, в том числе облагаемых налогом на добычу полезных ископаемых (с расшифровкой необлагаемого налогом объема).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23. Министерство сельского хозяйства Российской Федерации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на долгосрочный период: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а) объемов производства и экспорта зерна, цен на зерно на мировом и российском рынках;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б) объемов производства и реализации подакцизной продукции (по согласованному с Министерством финансов Российской Федерации перечню);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в) цен реализации табачной продукции (для подакцизной продукции, в отношении которой установлены адвалорные или комбинированные ставки акцизов);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г) потребности (спроса) сельского хозяйства в инвестициях в основной капитал и в сельскохозяйственной технике;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lastRenderedPageBreak/>
        <w:t>д) другие показатели по согласованному с Министерством финансов Российской Федерации перечню.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24. Министерство труда и социальной защиты Российской Федерации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Федерации:</w:t>
      </w:r>
    </w:p>
    <w:p w:rsidR="0014630F" w:rsidRDefault="0014630F">
      <w:pPr>
        <w:pStyle w:val="ConsPlusNormal"/>
        <w:spacing w:before="220"/>
        <w:ind w:firstLine="540"/>
        <w:jc w:val="both"/>
      </w:pPr>
      <w:proofErr w:type="gramStart"/>
      <w:r>
        <w:t>а) предложения об индексации фиксированной выплаты к страховой пенсии, социальной пенсии, о корректировке размеров страховой пенсии, накопительной пенсии, выплачиваемой из Фонда пенсионного и социального страхования Российской Федерации, об установлении стоимости пенсионного коэффициента, о размере пенсии (среднегодовой) с учетом страховой пенсии, фиксированной выплаты к страховой пенсии, накопительной пенсии, выплачиваемой из Фонда пенсионного и социального страхования Российской Федерации, пенсии по государственному пенсионному</w:t>
      </w:r>
      <w:proofErr w:type="gramEnd"/>
      <w:r>
        <w:t xml:space="preserve"> обеспечению с учетом предложенных темпов индексации и корректировки;</w:t>
      </w:r>
    </w:p>
    <w:p w:rsidR="0014630F" w:rsidRDefault="0014630F">
      <w:pPr>
        <w:pStyle w:val="ConsPlusNormal"/>
        <w:jc w:val="both"/>
      </w:pPr>
      <w:r>
        <w:t xml:space="preserve">(пп. "а"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б) прогноз численности пенсионеров, получающих страховую пенсию и накопительную пенсию;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в) предварительный прогноз основных параметров бюджетов Фонда пенсионного и социального страхования Российской Федерации на долгосрочный период.</w:t>
      </w:r>
    </w:p>
    <w:p w:rsidR="0014630F" w:rsidRDefault="0014630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25. Министерство энергетики Российской Федерации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на долгосрочный период: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а) объемов производства и реализации подакцизной продукции (по согласованному с Министерством финансов Российской Федерации перечню);</w:t>
      </w:r>
    </w:p>
    <w:p w:rsidR="0014630F" w:rsidRDefault="0014630F">
      <w:pPr>
        <w:pStyle w:val="ConsPlusNormal"/>
        <w:spacing w:before="220"/>
        <w:ind w:firstLine="540"/>
        <w:jc w:val="both"/>
      </w:pPr>
      <w:proofErr w:type="gramStart"/>
      <w:r>
        <w:t>б) объемов добычи угля (по видам), углеводородного сырья (по видам), в том числе облагаемых налогом на добычу полезных ископаемых (с расшифровкой необлагаемых налогом объемов, в том числе объемов добычи при выполнении соглашений о разделе продукции), из них - объемы добычи по новым месторождениям и по месторождениям с выработанностью свыше 80 процентов на участках недр, расположенных полностью или частично в границах Республики</w:t>
      </w:r>
      <w:proofErr w:type="gramEnd"/>
      <w:r>
        <w:t xml:space="preserve"> Татарстан и Республики Башкортостан, объемы добычи налогоплательщиками, являющимися собственниками объектов Единой системы газоснабжения;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в) объемов экспорта нефти в количественном выражении в страны дальнего зарубежья и государства - участники СНГ;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г) объемов экспорта природного газа в страны дальнего зарубежья и государства - участники СНГ;</w:t>
      </w:r>
    </w:p>
    <w:p w:rsidR="0014630F" w:rsidRDefault="0014630F">
      <w:pPr>
        <w:pStyle w:val="ConsPlusNormal"/>
        <w:spacing w:before="220"/>
        <w:ind w:firstLine="540"/>
        <w:jc w:val="both"/>
      </w:pPr>
      <w:proofErr w:type="gramStart"/>
      <w:r>
        <w:t>д) объемов экспорта нефтепродуктов в страны дальнего зарубежья и государства - участники СНГ (в разрезе стран) в количественном выражении (с распределением на "светлые" нефтепродукты (прямогонный бензин, товарные бензины) и "темные" нефтепродукты);</w:t>
      </w:r>
      <w:proofErr w:type="gramEnd"/>
    </w:p>
    <w:p w:rsidR="0014630F" w:rsidRDefault="0014630F">
      <w:pPr>
        <w:pStyle w:val="ConsPlusNormal"/>
        <w:spacing w:before="220"/>
        <w:ind w:firstLine="540"/>
        <w:jc w:val="both"/>
      </w:pPr>
      <w:r>
        <w:t>е) объемов экспорта нефти и природного газа в количественном выражении при выполнении соглашений о разделе продукции (по месторождениям) и объемов экспорта природного газа по магистральному газопроводу "Голубой поток" (</w:t>
      </w:r>
      <w:hyperlink r:id="rId25">
        <w:r>
          <w:rPr>
            <w:color w:val="0000FF"/>
          </w:rPr>
          <w:t>Соглашение</w:t>
        </w:r>
      </w:hyperlink>
      <w:r>
        <w:t xml:space="preserve"> между Правительством Российской Федерации и Правительством Турецкой Республики о поставках российского природного газа в Турецкую Республику через акваторию Черного моря);</w:t>
      </w:r>
    </w:p>
    <w:p w:rsidR="0014630F" w:rsidRDefault="0014630F">
      <w:pPr>
        <w:pStyle w:val="ConsPlusNormal"/>
        <w:spacing w:before="220"/>
        <w:ind w:firstLine="540"/>
        <w:jc w:val="both"/>
      </w:pPr>
      <w:proofErr w:type="gramStart"/>
      <w:r>
        <w:lastRenderedPageBreak/>
        <w:t>ж) цен на газ для стран дальнего зарубежья и государств - участников СНГ (в том числе Украины, Республики Молдова и Республики Армения, с выделением цен на сжиженный природный газ, а также среднеконтрактных цен (включая государства - участники СНГ), средних цен производителей на газовый конденсат, объемов и цен природного газа, сжиженного природного газа, реализуемых на внутреннем рынке и на экспорт при выполнении соглашений</w:t>
      </w:r>
      <w:proofErr w:type="gramEnd"/>
      <w:r>
        <w:t xml:space="preserve"> о разделе продукции (по месторождениям);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з) объемов добычи полезных ископаемых на континентальном шельфе Российской Федерации и в исключительной экономической зоне Российской Федерации;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и) объемов импорта нефти, нефтепродуктов и природного газа;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к) другие показатели по согласованному с Министерством финансов Российской Федерации перечню.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Федеральная антимонопольная служба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предложения к сценарным условиям по предельным уровням цен (тарифов) на услуги компаний инфраструктурного сектора и по динамике изменения размера платы граждан за коммунальные услуги на долгосрочный период.</w:t>
      </w:r>
      <w:proofErr w:type="gramEnd"/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Федеральная служба по контролю за алкогольным и табачным рынками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предварительные показатели объема производства и реализации подакцизной продукции (по согласованному с Министерством финансов Российской Федерации перечню).</w:t>
      </w:r>
      <w:proofErr w:type="gramEnd"/>
    </w:p>
    <w:p w:rsidR="0014630F" w:rsidRDefault="001463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19.01.2024 N 25)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Министерство промышленности и торговли Российской Федерации, Министерство транспорта Российской Федерации и другие заинтересованные федеральные органы исполнительной власти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представляют в Министерство экономического развития Российской Федерации паспорта (при отсутствии - основные экономические и технико-экономические показатели) предлагаемых (принятых к реализации, реализуемых) крупномасштабных инвестиционных и инновационных проектов (программ), включая оценку необходимых</w:t>
      </w:r>
      <w:proofErr w:type="gramEnd"/>
      <w:r>
        <w:t xml:space="preserve"> государственных (федерального бюджета, бюджетов субъектов Российской Федерации) и частных инвестиций, а также информацию об ожидаемых результатах реализации проектов.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Министерство цифрового развития, связи и массовых коммуникаций Российской Федерации, Министерство промышленности и торговли Российской Федерации и другие заинтересованные федеральные органы исполнительной власти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представляют в Министерство экономического развития Российской Федерации прогнозы развития науки и технологий в соответствующей сфере, оценки изменения показателей эффективности (в том числе энергоэффективности и</w:t>
      </w:r>
      <w:proofErr w:type="gramEnd"/>
      <w:r>
        <w:t xml:space="preserve"> производительности труда) и конкурентоспособности (в том числе производства и экспорта инновационных видов продукции) российской экономики, ее отдельных секторов и ключевых производств.</w:t>
      </w:r>
    </w:p>
    <w:p w:rsidR="0014630F" w:rsidRDefault="0014630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30. Министерство науки и высшего образования Российской Федерации не позднее чем через месяц после получения запроса, указанного в </w:t>
      </w:r>
      <w:hyperlink w:anchor="P138">
        <w:r>
          <w:rPr>
            <w:color w:val="0000FF"/>
          </w:rPr>
          <w:t>пункте 19</w:t>
        </w:r>
      </w:hyperlink>
      <w:r>
        <w:t xml:space="preserve"> настоящих Правил, представляет в Министерство экономического развития Российской Федерации прогноз динамики основных показателей развития науки и технологий.</w:t>
      </w:r>
    </w:p>
    <w:p w:rsidR="0014630F" w:rsidRDefault="001463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lastRenderedPageBreak/>
        <w:t xml:space="preserve">31. Федеральная таможенная служба обеспечивает заинтересованные федеральные органы исполнительной власти отчетными данными по объемам импорта подакцизных товаров и участвует в формировании заинтересованными федеральными органами исполнительной власти показателей импорта подакцизных товаров в разбивке, соответствующей Налоговому </w:t>
      </w:r>
      <w:hyperlink r:id="rId29">
        <w:r>
          <w:rPr>
            <w:color w:val="0000FF"/>
          </w:rPr>
          <w:t>кодексу</w:t>
        </w:r>
      </w:hyperlink>
      <w:r>
        <w:t xml:space="preserve"> Российской Федерации, на долгосрочный период.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32. Министерство финансов Российской Федерации в целях формирования сценарных условий и основных параметров долгосрочного прогноза направляет в Министерство экономического развития Российской Федерации и Центральный банк Российской Федерации проект бюджетного прогноза Российской Федерации на долгосрочный период (проект изменений бюджетного прогноза).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33. Министерство экономического развития Российской Федерации и Министерство финансов Российской Федерации с участием Центрального банка Российской Федерации рассматривают предложения по прогнозу платежного баланса, внешнего долга и развития банковской системы на долгосрочный период.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Министерство экономического развития Российской Федерации учитывает при разработке сценарных условий и основных параметров долгосрочного прогноза данные об объемах бюджетных ассигнований федерального бюджета на долгосрочный период на реализацию государственных программ Российской Федерации, на бюджетные инвестиции в объекты капитального строительства, не включенные в государственные программы Российской Федерации, и иные долгосрочные бюджетные обязательства, в том числе связанные с международными соглашениями (включая расходы, связанные</w:t>
      </w:r>
      <w:proofErr w:type="gramEnd"/>
      <w:r>
        <w:t xml:space="preserve"> с формированием Евразийского экономического пространства).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35. Для обсуждения сценарных условий и основных параметров долгосрочного прогноза Министерством экономического развития Российской Федерации создается рабочая группа с участием представителей научных, экспертных организаций и </w:t>
      </w:r>
      <w:proofErr w:type="gramStart"/>
      <w:r>
        <w:t>бизнес-сообщества</w:t>
      </w:r>
      <w:proofErr w:type="gramEnd"/>
      <w:r>
        <w:t>.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Title"/>
        <w:jc w:val="center"/>
        <w:outlineLvl w:val="1"/>
      </w:pPr>
      <w:r>
        <w:t>III. Разработка долгосрочного прогноза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ind w:firstLine="540"/>
        <w:jc w:val="both"/>
      </w:pPr>
      <w:r>
        <w:t>36. Долгосрочный прогноз разрабатывается на вариативной основе и формируется в целом по Российской Федерации, федеральным округам, субъектам Российской Федерации и видам экономической деятельности.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Долгосрочный прогноз формируется в 2 обязательных (основных) вариантах.</w:t>
      </w:r>
    </w:p>
    <w:p w:rsidR="0014630F" w:rsidRDefault="0014630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18.05.2019 N 615)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Базовый вариант долгосрочного прогноза характеризует основные тенденции и параметры развития экономики в условиях консервативного изменения внешних условий.</w:t>
      </w:r>
    </w:p>
    <w:p w:rsidR="0014630F" w:rsidRDefault="0014630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18.05.2019 N 615)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Консервативный вариант долгосрочного прогноза разрабатывается на основе консервативных оценок темпов экономического роста с учетом возможности ухудшения внешнеэкономических условий.</w:t>
      </w:r>
    </w:p>
    <w:p w:rsidR="0014630F" w:rsidRDefault="0014630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18.05.2019 N 615)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РФ от 18.05.2019 N 615.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37. Министерство экономического развития Российской Федерации включает в состав долгосрочного прогноза следующие показатели и характеристики: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а) оценка достигнутого уровня социально-экономического развития;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б) характеристика условий социально-экономического развития в долгосрочном периоде, </w:t>
      </w:r>
      <w:r>
        <w:lastRenderedPageBreak/>
        <w:t>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в) основные показатели развития мировой экономики на долгосрочный период, включая прогноз мировых цен на отдельные сырьевые ресурсы;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г) оценка факторов и ограничений социально-экономического развития Российской Федерации на долгосрочный период;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д) показатели основных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е) направления и основные показатели социально-экономического развития, балансы по основным видам экономической деятельности и секторам экономики, показатели развития транспортной и энергетической инфраструктуры на долгосрочный период с учетом реализации мероприятий, содержащихся в государственных программах Российской Федерации;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ж) баланс институциональных секторов экономики на прогнозный период, отражающий условия сбалансированности параметров развития экономики и секторов экономики, учтенных при разработке долгосрочного прогноза, а также показатели развития институциональных секторов экономики с учетом реализации мероприятий, содержащихся в государственных программах Российской Федерации, и влияния других мер государственной политики в области экономического развития;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з) сводный топливно-энергетический баланс, рассчитанный в соответствии с методологией Министерства энергетики Российской Федерации, и другие важнейшие товарные балансы, обеспечивающие точность и обоснованность макроэкономического прогноза;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и) основные показатели регионального развития на долгосрочный период, в том числе величина валового регионального продукта субъектов Российской Федерации, прогноз потребления топливно-энергетических ресурсов на территории субъектов Российской Федерации на долгосрочный период;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к) оценка макроэкономического эффекта от реализации государственных программ Российской Федерации, других документов стратегического планирования и планируемых институциональных преобразований;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л) оценка основных направлений научно-технологического развития Российской Федерации на долгосрочный период;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м) структура и источники финансирования инвестиций в основной капитал;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н) основные параметры инфляции;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о) предельные уровни цен (тарифов) на услуги компаний инфраструктурного сектора;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п) показатели платежного баланса;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р) оценка основных показателей внешней торговли на долгосрочный период.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с) иные показатели, определенные Правительством Российской Федерации.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38. Федеральные органы исполнительной власти и другие участники стратегического планирования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представляют в Министерство экономического развития Российской Федерации: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lastRenderedPageBreak/>
        <w:t>а) прогноз развития видов экономической деятельности, секторов и сфер экономики на долгосрочный период;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б) показатели в соответствии с перечнем, утверждаемым совместным приказом Министерства финансов Российской Федерации и Министерства экономического развития Российской Федерации по согласованию с заинтересованными федеральными органами исполнительной власти;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в) иные материалы, необходимые для формирования соответствующих разделов долгосрочного прогноза.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Исполнительные органы субъектов Российской Федерации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представляют в Министерство экономического развития Российской Федерации основные показатели регионального развития на долгосрочный период, в том числе величину валового регионального продукта субъектов Российской Федерации, и прогноз потребления топливно-энергетических ресурсов на территории субъектов Российской Федерации.</w:t>
      </w:r>
      <w:proofErr w:type="gramEnd"/>
    </w:p>
    <w:p w:rsidR="0014630F" w:rsidRDefault="001463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>Министерство просвещения Российской Федерации и Министерство науки и высшего образования Российской Федерации в соответствии с установленными сферами ведения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представляют в Министерство экономического развития Российской Федерации показатели численности студентов, обучающихся по образовательным программам среднего профессионального образования и по образовательным программам высшего образования, на</w:t>
      </w:r>
      <w:proofErr w:type="gramEnd"/>
      <w:r>
        <w:t xml:space="preserve"> долгосрочный период.</w:t>
      </w:r>
    </w:p>
    <w:p w:rsidR="0014630F" w:rsidRDefault="0014630F">
      <w:pPr>
        <w:pStyle w:val="ConsPlusNormal"/>
        <w:jc w:val="both"/>
      </w:pPr>
      <w:r>
        <w:t xml:space="preserve">(п. 40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41. Министерство транспорта Российской Федерации не позднее чем через 2 месяца после одобрения Правительством Российской Федерации сценарных условий и основных параметров долгосрочного прогноза представляет в Министерство экономического развития Российской Федерации показатели объемов экспорта и импорта транспортных услуг на долгосрочный период.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42. Ответственные исполнители государственных программ Российской Федерации представляют актуальную информацию по целевым показателям (индикаторам) и финансовому обеспечению государственных программ Российской Федерации в соответствии с графиком подготовки и рассмотрения проектов федеральных законов, документов и материалов, разрабатываемых при составлении проекта федерального бюджета и проектов бюджетов государственных внебюджетных фондов Российской Федерации.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43. Проект долгосрочного прогноза проходит процедуру общественного обсуждения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Федерации".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Title"/>
        <w:jc w:val="center"/>
        <w:outlineLvl w:val="1"/>
      </w:pPr>
      <w:r>
        <w:t>IV. Корректировка, мониторинг и контроль реализации</w:t>
      </w:r>
    </w:p>
    <w:p w:rsidR="0014630F" w:rsidRDefault="0014630F">
      <w:pPr>
        <w:pStyle w:val="ConsPlusTitle"/>
        <w:jc w:val="center"/>
      </w:pPr>
      <w:r>
        <w:t>долгосрочного прогноза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ind w:firstLine="540"/>
        <w:jc w:val="both"/>
      </w:pPr>
      <w:bookmarkStart w:id="3" w:name="P224"/>
      <w:bookmarkEnd w:id="3"/>
      <w:r>
        <w:t>44. Мониторинг и контроль реализации долгосрочного прогноза осуществляется Министерством экономического развития Российской Федерации в целях выявления отклонений фактических значений показателей от показателей, утвержденных в долгосрочном прогнозе.</w:t>
      </w:r>
    </w:p>
    <w:p w:rsidR="0014630F" w:rsidRDefault="0014630F">
      <w:pPr>
        <w:pStyle w:val="ConsPlusNormal"/>
        <w:spacing w:before="220"/>
        <w:ind w:firstLine="540"/>
        <w:jc w:val="both"/>
      </w:pPr>
      <w:proofErr w:type="gramStart"/>
      <w:r>
        <w:t xml:space="preserve">Мониторинг и контроль реализации долгосрочного прогноза осуществляется на основе данных официального статистического наблюдения, а также иной информации, представляемой федеральными органами исполнительной власти и исполнительными органами субъектов </w:t>
      </w:r>
      <w:r>
        <w:lastRenderedPageBreak/>
        <w:t>Российской Федерации в соответствии с их сферой ведения, путем обобщения информации о социально-экономическом развитии Российской Федерации и оценки достижения показателей социально-экономического развития Российской Федерации в долгосрочном периоде, по итогам которого Министерство экономического развития Российской</w:t>
      </w:r>
      <w:proofErr w:type="gramEnd"/>
      <w:r>
        <w:t xml:space="preserve"> Федерации ежегодно представляет в Правительство Российской Федерации и размещает на официальном сайте Министерства экономического развития Российской Федерации в информационно-телекоммуникационной сети "Интернет" ежегодный доклад "Об итогах социально-экономического развития Российской Федерации", содержащий следующие показатели и характеристики за отчетный год:</w:t>
      </w:r>
    </w:p>
    <w:p w:rsidR="0014630F" w:rsidRDefault="0014630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а) оценка степени достижения утвержденных показателей долгосрочного прогноза;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б) оценка влияния внутренних и внешних условий на достижение показателей долгосрочного прогноза;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в) оценка уровня социально-экономического развития Российской Федерации, анализ возможных рисков.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 xml:space="preserve">При необходимости Правительством Российской Федерации по итогам рассмотрения информации, указанной в </w:t>
      </w:r>
      <w:hyperlink w:anchor="P224">
        <w:r>
          <w:rPr>
            <w:color w:val="0000FF"/>
          </w:rPr>
          <w:t>пункте 44</w:t>
        </w:r>
      </w:hyperlink>
      <w:r>
        <w:t xml:space="preserve"> настоящих Правил, в случае существенного отклонения параметров прогноза социально-экономического развития Российской Федерации на среднесрочный период от утвержденных в долгосрочном прогнозе, а также на основании </w:t>
      </w:r>
      <w:hyperlink r:id="rId38">
        <w:r>
          <w:rPr>
            <w:color w:val="0000FF"/>
          </w:rPr>
          <w:t>части 1 статьи 24</w:t>
        </w:r>
      </w:hyperlink>
      <w:r>
        <w:t xml:space="preserve"> Федерального закона "О стратегическом планировании в Российской Федерации" принимаются решения о корректировке долгосрочного прогноза в порядке, установленном настоящими Правилами</w:t>
      </w:r>
      <w:proofErr w:type="gramEnd"/>
      <w:r>
        <w:t>.</w:t>
      </w:r>
    </w:p>
    <w:p w:rsidR="0014630F" w:rsidRDefault="0014630F">
      <w:pPr>
        <w:pStyle w:val="ConsPlusNormal"/>
        <w:spacing w:before="220"/>
        <w:ind w:firstLine="540"/>
        <w:jc w:val="both"/>
      </w:pPr>
      <w:r>
        <w:t>46. Долгосрочный прогноз корректируется Министерством экономического развития Российской Федерации с учетом прогноза социально-экономического развития Российской Федерации на среднесрочный период.</w:t>
      </w: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jc w:val="both"/>
      </w:pPr>
    </w:p>
    <w:p w:rsidR="0014630F" w:rsidRDefault="001463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464" w:rsidRDefault="00545464"/>
    <w:sectPr w:rsidR="00545464" w:rsidSect="00F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630F"/>
    <w:rsid w:val="0014630F"/>
    <w:rsid w:val="0054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3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63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63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2&amp;dst=101375" TargetMode="External"/><Relationship Id="rId13" Type="http://schemas.openxmlformats.org/officeDocument/2006/relationships/hyperlink" Target="https://login.consultant.ru/link/?req=doc&amp;base=LAW&amp;n=325132&amp;dst=100015" TargetMode="External"/><Relationship Id="rId18" Type="http://schemas.openxmlformats.org/officeDocument/2006/relationships/hyperlink" Target="https://login.consultant.ru/link/?req=doc&amp;base=LAW&amp;n=282735&amp;dst=100008" TargetMode="External"/><Relationship Id="rId26" Type="http://schemas.openxmlformats.org/officeDocument/2006/relationships/hyperlink" Target="https://login.consultant.ru/link/?req=doc&amp;base=LAW&amp;n=479725&amp;dst=10005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6152&amp;dst=101379" TargetMode="External"/><Relationship Id="rId34" Type="http://schemas.openxmlformats.org/officeDocument/2006/relationships/hyperlink" Target="https://login.consultant.ru/link/?req=doc&amp;base=LAW&amp;n=466152&amp;dst=101385" TargetMode="External"/><Relationship Id="rId7" Type="http://schemas.openxmlformats.org/officeDocument/2006/relationships/hyperlink" Target="https://login.consultant.ru/link/?req=doc&amp;base=LAW&amp;n=325132&amp;dst=100015" TargetMode="External"/><Relationship Id="rId12" Type="http://schemas.openxmlformats.org/officeDocument/2006/relationships/hyperlink" Target="https://login.consultant.ru/link/?req=doc&amp;base=LAW&amp;n=460642&amp;dst=100150" TargetMode="External"/><Relationship Id="rId17" Type="http://schemas.openxmlformats.org/officeDocument/2006/relationships/hyperlink" Target="https://login.consultant.ru/link/?req=doc&amp;base=LAW&amp;n=93980" TargetMode="External"/><Relationship Id="rId25" Type="http://schemas.openxmlformats.org/officeDocument/2006/relationships/hyperlink" Target="https://login.consultant.ru/link/?req=doc&amp;base=INT&amp;n=4008" TargetMode="External"/><Relationship Id="rId33" Type="http://schemas.openxmlformats.org/officeDocument/2006/relationships/hyperlink" Target="https://login.consultant.ru/link/?req=doc&amp;base=LAW&amp;n=325132&amp;dst=100020" TargetMode="External"/><Relationship Id="rId38" Type="http://schemas.openxmlformats.org/officeDocument/2006/relationships/hyperlink" Target="https://login.consultant.ru/link/?req=doc&amp;base=LAW&amp;n=480785&amp;dst=1003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152&amp;dst=101376" TargetMode="External"/><Relationship Id="rId20" Type="http://schemas.openxmlformats.org/officeDocument/2006/relationships/hyperlink" Target="https://login.consultant.ru/link/?req=doc&amp;base=LAW&amp;n=466152&amp;dst=101378" TargetMode="External"/><Relationship Id="rId29" Type="http://schemas.openxmlformats.org/officeDocument/2006/relationships/hyperlink" Target="https://login.consultant.ru/link/?req=doc&amp;base=LAW&amp;n=4827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642&amp;dst=100150" TargetMode="External"/><Relationship Id="rId11" Type="http://schemas.openxmlformats.org/officeDocument/2006/relationships/hyperlink" Target="https://login.consultant.ru/link/?req=doc&amp;base=LAW&amp;n=379444&amp;dst=100101" TargetMode="External"/><Relationship Id="rId24" Type="http://schemas.openxmlformats.org/officeDocument/2006/relationships/hyperlink" Target="https://login.consultant.ru/link/?req=doc&amp;base=LAW&amp;n=466152&amp;dst=101384" TargetMode="External"/><Relationship Id="rId32" Type="http://schemas.openxmlformats.org/officeDocument/2006/relationships/hyperlink" Target="https://login.consultant.ru/link/?req=doc&amp;base=LAW&amp;n=325132&amp;dst=100019" TargetMode="External"/><Relationship Id="rId37" Type="http://schemas.openxmlformats.org/officeDocument/2006/relationships/hyperlink" Target="https://login.consultant.ru/link/?req=doc&amp;base=LAW&amp;n=466152&amp;dst=10138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79444&amp;dst=100101" TargetMode="External"/><Relationship Id="rId15" Type="http://schemas.openxmlformats.org/officeDocument/2006/relationships/hyperlink" Target="https://login.consultant.ru/link/?req=doc&amp;base=LAW&amp;n=479725&amp;dst=100054" TargetMode="External"/><Relationship Id="rId23" Type="http://schemas.openxmlformats.org/officeDocument/2006/relationships/hyperlink" Target="https://login.consultant.ru/link/?req=doc&amp;base=LAW&amp;n=466152&amp;dst=101382" TargetMode="External"/><Relationship Id="rId28" Type="http://schemas.openxmlformats.org/officeDocument/2006/relationships/hyperlink" Target="https://login.consultant.ru/link/?req=doc&amp;base=LAW&amp;n=460642&amp;dst=100151" TargetMode="External"/><Relationship Id="rId36" Type="http://schemas.openxmlformats.org/officeDocument/2006/relationships/hyperlink" Target="https://login.consultant.ru/link/?req=doc&amp;base=LAW&amp;n=480785" TargetMode="External"/><Relationship Id="rId10" Type="http://schemas.openxmlformats.org/officeDocument/2006/relationships/hyperlink" Target="https://login.consultant.ru/link/?req=doc&amp;base=LAW&amp;n=480785&amp;dst=100371" TargetMode="External"/><Relationship Id="rId19" Type="http://schemas.openxmlformats.org/officeDocument/2006/relationships/hyperlink" Target="https://login.consultant.ru/link/?req=doc&amp;base=LAW&amp;n=466152&amp;dst=101377" TargetMode="External"/><Relationship Id="rId31" Type="http://schemas.openxmlformats.org/officeDocument/2006/relationships/hyperlink" Target="https://login.consultant.ru/link/?req=doc&amp;base=LAW&amp;n=325132&amp;dst=1000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9725&amp;dst=100054" TargetMode="External"/><Relationship Id="rId14" Type="http://schemas.openxmlformats.org/officeDocument/2006/relationships/hyperlink" Target="https://login.consultant.ru/link/?req=doc&amp;base=LAW&amp;n=466152&amp;dst=101375" TargetMode="External"/><Relationship Id="rId22" Type="http://schemas.openxmlformats.org/officeDocument/2006/relationships/hyperlink" Target="https://login.consultant.ru/link/?req=doc&amp;base=LAW&amp;n=466152&amp;dst=101380" TargetMode="External"/><Relationship Id="rId27" Type="http://schemas.openxmlformats.org/officeDocument/2006/relationships/hyperlink" Target="https://login.consultant.ru/link/?req=doc&amp;base=LAW&amp;n=379444&amp;dst=100101" TargetMode="External"/><Relationship Id="rId30" Type="http://schemas.openxmlformats.org/officeDocument/2006/relationships/hyperlink" Target="https://login.consultant.ru/link/?req=doc&amp;base=LAW&amp;n=325132&amp;dst=100016" TargetMode="External"/><Relationship Id="rId35" Type="http://schemas.openxmlformats.org/officeDocument/2006/relationships/hyperlink" Target="https://login.consultant.ru/link/?req=doc&amp;base=LAW&amp;n=460642&amp;dst=100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5755</Words>
  <Characters>32804</Characters>
  <Application>Microsoft Office Word</Application>
  <DocSecurity>0</DocSecurity>
  <Lines>273</Lines>
  <Paragraphs>76</Paragraphs>
  <ScaleCrop>false</ScaleCrop>
  <Company/>
  <LinksUpToDate>false</LinksUpToDate>
  <CharactersWithSpaces>38483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dudorova_nm</dc:creator>
  <cp:lastModifiedBy>dudorova_nm</cp:lastModifiedBy>
  <cp:revision>1</cp:revision>
  <dcterms:created xsi:type="dcterms:W3CDTF">2024-09-02T14:35:00Z</dcterms:created>
  <dcterms:modified xsi:type="dcterms:W3CDTF">2024-09-02T14:37:00Z</dcterms:modified>
</cp:coreProperties>
</file>