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shd w:val="clear" w:color="auto" w:fill="ffffff" w:themeFill="background1"/>
        <w:rPr>
          <w:rStyle w:val="895"/>
          <w:b w:val="0"/>
          <w:bCs w:val="0"/>
          <w:sz w:val="28"/>
          <w:szCs w:val="28"/>
        </w:rPr>
      </w:pPr>
      <w:r>
        <w:rPr>
          <w:rStyle w:val="895"/>
          <w:b w:val="0"/>
          <w:sz w:val="28"/>
          <w:szCs w:val="28"/>
        </w:rPr>
        <w:t xml:space="preserve">Приложение № </w:t>
      </w:r>
      <w:r>
        <w:rPr>
          <w:rStyle w:val="895"/>
          <w:b w:val="0"/>
          <w:sz w:val="28"/>
          <w:szCs w:val="28"/>
        </w:rPr>
        <w:t xml:space="preserve">3</w:t>
      </w:r>
      <w:r/>
    </w:p>
    <w:p>
      <w:pPr>
        <w:jc w:val="center"/>
        <w:spacing w:line="360" w:lineRule="auto"/>
        <w:shd w:val="clear" w:color="auto" w:fill="ffffff" w:themeFill="background1"/>
        <w:rPr>
          <w:rStyle w:val="895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 w:themeFill="background1"/>
        <w:rPr>
          <w:rStyle w:val="895"/>
          <w:sz w:val="28"/>
          <w:szCs w:val="28"/>
        </w:rPr>
      </w:pPr>
      <w:r>
        <w:rPr>
          <w:rStyle w:val="895"/>
          <w:sz w:val="28"/>
          <w:szCs w:val="28"/>
        </w:rPr>
        <w:t xml:space="preserve">Информация о привлечении средств федерального бюджета в рамках государственных программ </w:t>
      </w:r>
      <w:r>
        <w:rPr>
          <w:b/>
          <w:sz w:val="28"/>
          <w:szCs w:val="28"/>
        </w:rPr>
        <w:t xml:space="preserve">Российской Федерации</w:t>
      </w:r>
      <w:r>
        <w:rPr>
          <w:rStyle w:val="895"/>
          <w:sz w:val="28"/>
          <w:szCs w:val="28"/>
        </w:rPr>
        <w:t xml:space="preserve">, федеральных целевых программ </w:t>
      </w:r>
      <w:r>
        <w:rPr>
          <w:b/>
          <w:sz w:val="28"/>
          <w:szCs w:val="28"/>
        </w:rPr>
        <w:t xml:space="preserve">в 2022 – 2025 годах</w:t>
      </w:r>
      <w:r>
        <w:rPr>
          <w:sz w:val="28"/>
          <w:szCs w:val="28"/>
        </w:rPr>
        <w:t xml:space="preserve"> </w:t>
      </w:r>
      <w:r>
        <w:rPr>
          <w:rStyle w:val="895"/>
          <w:sz w:val="28"/>
          <w:szCs w:val="28"/>
        </w:rPr>
        <w:t xml:space="preserve">по состоянию на 01.01.2023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2022 году за счет средств федерального бюджета на т</w:t>
      </w:r>
      <w:r>
        <w:rPr>
          <w:sz w:val="28"/>
          <w:szCs w:val="28"/>
          <w:shd w:val="clear" w:color="auto" w:fill="ffffff" w:themeFill="background1"/>
        </w:rPr>
        <w:t xml:space="preserve">ерритории Кировской области осуществлялось финансирование мероприятий в рамках 24 государственных программ Российской Федерации (далее – ГП РФ), в том числе 1 федеральной целевой программы (далее – ФЦП), включенной в их состав, а также 12 непрограммных мероприятий.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По </w:t>
      </w:r>
      <w:r>
        <w:rPr>
          <w:sz w:val="28"/>
          <w:szCs w:val="28"/>
          <w:shd w:val="clear" w:color="auto" w:fill="ffffff" w:themeFill="background1"/>
        </w:rPr>
        <w:t xml:space="preserve">итогам за 2022 год фактические расходы на </w:t>
      </w:r>
      <w:r>
        <w:rPr>
          <w:sz w:val="28"/>
          <w:szCs w:val="28"/>
          <w:shd w:val="clear" w:color="auto" w:fill="ffffff" w:themeFill="background1"/>
        </w:rPr>
        <w:t xml:space="preserve">реализацию мероприятий в рамках ГП РФ, ФЦП, а также непрограммных мероприятий и объектов федеральной адресной инвестиционной программы на территории Кировской области составили 29838,5 млн. рублей или 99,4% от  запланированного объема 30023,0 млн. рублей. </w:t>
      </w:r>
      <w:r>
        <w:rPr>
          <w:sz w:val="28"/>
          <w:szCs w:val="28"/>
          <w:shd w:val="clear" w:color="auto" w:fill="ffffff" w:themeFill="background1"/>
        </w:rPr>
        <w:t xml:space="preserve">Отклонение фактических расходов от плановых связано в большинстве случаев с приостановкой работ по строительству (реконструкции) объектов по причине необходимости доработки проектно-сметной документации, а также с экономией средств по результатам закупок. </w:t>
      </w:r>
      <w:r>
        <w:rPr>
          <w:sz w:val="28"/>
          <w:szCs w:val="28"/>
        </w:rPr>
        <w:t xml:space="preserve">В 2022 году средств федерального бюджета было освоено больше на 42,2 %, чем за анализируемый период 2021 года.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Наибольший объем финансирования за счет средств федерального бюджета отмечается в 2022 году в рамках следующих ГП РФ: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ГП РФ «Развитие образования» (на 2018 – 2030 годы) – 8142,1 млн. рублей;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tabs>
          <w:tab w:val="left" w:pos="709" w:leader="none"/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 w:themeFill="background1"/>
        </w:rPr>
        <w:t xml:space="preserve">ГП РФ «Социальная поддержка граждан» (на 2013 – 2030 годы) – </w:t>
      </w:r>
      <w:r>
        <w:rPr>
          <w:sz w:val="28"/>
          <w:szCs w:val="28"/>
        </w:rPr>
        <w:t xml:space="preserve">7656,4 млн. рублей</w:t>
      </w:r>
      <w:r>
        <w:rPr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tabs>
          <w:tab w:val="left" w:pos="709" w:leader="none"/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ГП РФ «Развитие транспортной системы» (на 2018 – 2030 годы) – 3128,5 млн. рублей;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ГП РФ «Развитие здравоохранения» (на 2018 – 2030 годы) – 2487,0 млн. рублей;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ГП РФ «Обеспечение доступным и комфортным жильем и коммунальными услугами граждан Российской Федерации» (на 2018 – 2030 годы) – 1262,9 млн. рублей.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  <w:shd w:val="clear" w:color="auto" w:fill="ffffff"/>
        </w:rPr>
        <w:t xml:space="preserve">ГП РФ «</w:t>
      </w:r>
      <w:r>
        <w:rPr>
          <w:sz w:val="28"/>
          <w:szCs w:val="28"/>
        </w:rPr>
        <w:t xml:space="preserve">Развитие образования» (на 2018 – 2030 годы)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значительная часть денежных средств распределена на мероприятия: модернизацию школьных систем образования; создание дополнительных мест в общео</w:t>
      </w:r>
      <w:r>
        <w:rPr>
          <w:sz w:val="28"/>
          <w:szCs w:val="28"/>
        </w:rPr>
        <w:t xml:space="preserve">бразовательных организациях в связи с ростом числа обучающихся, вызванным демографическим фактором; организацию бесплатного горячего питания обучающихся, получающих начальное общее образование в государственных и муниципальных образовательных организациях.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рамках ГП РФ «Социальная поддержка граждан» </w:t>
      </w:r>
      <w:r>
        <w:rPr>
          <w:sz w:val="28"/>
          <w:szCs w:val="28"/>
          <w:shd w:val="clear" w:color="auto" w:fill="ffffff" w:themeFill="background1"/>
        </w:rPr>
        <w:br/>
        <w:t xml:space="preserve">(на 2013 – 2030 годы) значительная часть денежных средств распределена на мероприятия: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оплата жилищно-коммунальных услуг отдельным категориям граждан;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осуществление ежемесячных выплат на детей в возрасте от трех до семи лет включительно;</w:t>
      </w:r>
      <w:r>
        <w:rPr>
          <w:sz w:val="28"/>
          <w:szCs w:val="28"/>
        </w:rPr>
        <w:t xml:space="preserve"> осуществление ежемесячной выплаты в связи с рождением (усыновлением) первого ребенка.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  <w:shd w:val="clear" w:color="auto" w:fill="ffffff"/>
        </w:rPr>
        <w:t xml:space="preserve">ГП РФ «Развитие транспортной системы» (на 2018 – 2030</w:t>
      </w:r>
      <w:r>
        <w:rPr>
          <w:sz w:val="28"/>
          <w:szCs w:val="28"/>
          <w:shd w:val="clear" w:color="auto" w:fill="ffffff"/>
          <w:lang w:val="en-US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годы) </w:t>
      </w:r>
      <w:r>
        <w:rPr>
          <w:sz w:val="28"/>
          <w:szCs w:val="28"/>
        </w:rPr>
        <w:t xml:space="preserve">значительная часть денежных средств распределена на содержание дорог федерального и регионального значения; внедрение интеллектуальных транспортных систем, предусматривающих автоматизацию процессов управления дорожным движением.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рамках ГП РФ «Развитие здравоохранения» (на 2018 – 2030 годы) значительная часть денежных средств распределена на мероприятия: </w:t>
      </w:r>
      <w:r>
        <w:rPr>
          <w:sz w:val="28"/>
          <w:szCs w:val="28"/>
          <w:shd w:val="clear" w:color="auto" w:fill="ffffff" w:themeFill="background1"/>
        </w:rPr>
        <w:t xml:space="preserve">модернизация первичного звена здравоохранения;</w:t>
      </w:r>
      <w:r>
        <w:rPr>
          <w:sz w:val="28"/>
          <w:szCs w:val="28"/>
        </w:rPr>
        <w:t xml:space="preserve"> оснащение оборудованием региональных сосудистых центров и первичных сосудистых отделений; оказание отдельным категориям граждан социальной услуги по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обеспечению лекарственными препаратами для медицинского применения по рецептам на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лекарственные препараты, медицинскими изделиями по рецептам на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медицинские изделия, а также специализированными продуктами лечебного питания для детей-инвалидов.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рамках ГП РФ «Обеспечение доступным и комфортным жильем и</w:t>
      </w:r>
      <w:r>
        <w:rPr>
          <w:sz w:val="28"/>
          <w:szCs w:val="28"/>
          <w:shd w:val="clear" w:color="auto" w:fill="ffffff" w:themeFill="background1"/>
          <w:lang w:val="en-US"/>
        </w:rPr>
        <w:t xml:space="preserve"> </w:t>
      </w:r>
      <w:r>
        <w:rPr>
          <w:sz w:val="28"/>
          <w:szCs w:val="28"/>
          <w:shd w:val="clear" w:color="auto" w:fill="ffffff" w:themeFill="background1"/>
        </w:rPr>
        <w:t xml:space="preserve">коммунальными услугами граждан Российской Федерации» (на 2018 – </w:t>
      </w:r>
      <w:r>
        <w:rPr>
          <w:sz w:val="28"/>
          <w:szCs w:val="28"/>
          <w:shd w:val="clear" w:color="auto" w:fill="ffffff" w:themeFill="background1"/>
        </w:rPr>
        <w:br/>
        <w:t xml:space="preserve">2030 годы) </w:t>
      </w:r>
      <w:r>
        <w:rPr>
          <w:sz w:val="28"/>
          <w:szCs w:val="28"/>
        </w:rPr>
        <w:t xml:space="preserve">значительная часть денежных средств распределена на предоставление социальных выплат молодым семьям на приобретение (строительство) жилья; реконструкцию систем водоснабжения.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2022 году Кировская область принимает участие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 реализации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ГП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РФ, в рамках которых в 2021 году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 привлекались</w:t>
      </w:r>
      <w:r>
        <w:rPr>
          <w:sz w:val="28"/>
          <w:szCs w:val="28"/>
        </w:rPr>
        <w:t xml:space="preserve"> средства федерального бюджета: </w:t>
      </w:r>
      <w:r/>
    </w:p>
    <w:p>
      <w:pPr>
        <w:ind w:firstLine="708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ГП РФ «Национальная система пространственных данных» (на 2022 – 2030 годы), в ходе реализации которой в 2022 году </w:t>
      </w:r>
      <w:r>
        <w:rPr>
          <w:rFonts w:eastAsiaTheme="minorHAnsi"/>
          <w:sz w:val="28"/>
          <w:szCs w:val="28"/>
          <w:lang w:eastAsia="en-US"/>
        </w:rPr>
        <w:t xml:space="preserve">проведены комплексные кадастровые работы на территории муниципальных образований в отношении кадастровых кварталов, объектов недвижимости;</w:t>
      </w:r>
      <w:r/>
    </w:p>
    <w:p>
      <w:pPr>
        <w:ind w:firstLine="709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ГП РФ «Развитие промышленности и повышение ее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конкурентоспособности» (на 2013 – 2030 годы) – </w:t>
      </w:r>
      <w:r>
        <w:rPr>
          <w:rFonts w:eastAsiaTheme="minorHAnsi"/>
          <w:sz w:val="28"/>
          <w:szCs w:val="28"/>
          <w:lang w:eastAsia="en-US"/>
        </w:rPr>
        <w:t xml:space="preserve">проведены</w:t>
      </w:r>
      <w:r>
        <w:rPr>
          <w:sz w:val="28"/>
          <w:szCs w:val="28"/>
        </w:rPr>
        <w:t xml:space="preserve"> мероприятия по поддержке региональных программ развития промышленности.</w:t>
      </w:r>
      <w:r/>
    </w:p>
    <w:p>
      <w:pPr>
        <w:ind w:left="-56" w:firstLine="764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С 2023 года планируется принять участие в реализации мероприятий ГП РФ «Доступная среда» (2011 – 2030 годы) – планируется </w:t>
      </w:r>
      <w:r>
        <w:rPr>
          <w:rFonts w:eastAsiaTheme="minorHAnsi"/>
          <w:sz w:val="28"/>
          <w:szCs w:val="28"/>
          <w:lang w:eastAsia="en-US"/>
        </w:rPr>
        <w:t xml:space="preserve">проведение</w:t>
      </w:r>
      <w:r>
        <w:rPr>
          <w:sz w:val="28"/>
          <w:szCs w:val="28"/>
        </w:rPr>
        <w:t xml:space="preserve"> мероприятий в сфере реабилитации и абилитации инвалидов.</w:t>
      </w:r>
      <w:r/>
    </w:p>
    <w:p>
      <w:pPr>
        <w:ind w:left="-56" w:firstLine="764"/>
        <w:jc w:val="both"/>
        <w:spacing w:line="360" w:lineRule="auto"/>
        <w:shd w:val="clear" w:color="auto" w:fill="ffffff" w:themeFill="background1"/>
        <w:rPr>
          <w:rStyle w:val="895"/>
          <w:b w:val="0"/>
          <w:bCs w:val="0"/>
          <w:sz w:val="28"/>
          <w:szCs w:val="28"/>
        </w:rPr>
      </w:pPr>
      <w:r>
        <w:rPr>
          <w:rStyle w:val="895"/>
          <w:b w:val="0"/>
          <w:bCs w:val="0"/>
          <w:sz w:val="28"/>
          <w:szCs w:val="28"/>
        </w:rPr>
        <w:t xml:space="preserve">По данным органов исполнительной власти области в целях обеспечения своевременной реализации запланированных мероприятий осуществляется постоянная и планомерная работа с федеральными министерствами по привлечению средств федерального бюджета.</w:t>
      </w:r>
      <w:r/>
    </w:p>
    <w:p>
      <w:pPr>
        <w:ind w:firstLine="708"/>
        <w:jc w:val="both"/>
        <w:spacing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средств федерального бюджета на 2023 год составляет 24528,3 млн. рублей. Данный объем средств по состоянию на 01.01.2023 спрогнозирован </w:t>
      </w:r>
      <w:r>
        <w:rPr>
          <w:sz w:val="28"/>
          <w:szCs w:val="28"/>
        </w:rPr>
        <w:t xml:space="preserve">с учетом име</w:t>
      </w:r>
      <w:r>
        <w:rPr>
          <w:sz w:val="28"/>
          <w:szCs w:val="28"/>
        </w:rPr>
        <w:t xml:space="preserve">ющихся данных о направленных бюджетных заявках в федеральные органы исполнительной власти по состоянию на 01.01.2023 и данных о распределении сумм межбюджетных трансфертов из федерального бюджета в соответствии с Федеральным законом от 05.12.2022 № 466-ФЗ</w:t>
      </w:r>
      <w:r>
        <w:rPr>
          <w:sz w:val="28"/>
          <w:szCs w:val="28"/>
        </w:rPr>
        <w:t xml:space="preserve"> «О федеральном бюджете на 2023 году и на плановый период 2024 и </w:t>
      </w:r>
      <w:r>
        <w:rPr>
          <w:sz w:val="28"/>
          <w:szCs w:val="28"/>
        </w:rPr>
        <w:t xml:space="preserve">2025 годов».</w:t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00" w:right="839" w:bottom="378" w:left="1701" w:header="567" w:footer="40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/>
  </w:p>
  <w:p>
    <w:pPr>
      <w:pStyle w:val="89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separate"/>
    </w:r>
    <w:r>
      <w:rPr>
        <w:rStyle w:val="894"/>
      </w:rPr>
      <w:t xml:space="preserve">4</w:t>
    </w:r>
    <w:r>
      <w:rPr>
        <w:rStyle w:val="894"/>
      </w:rPr>
      <w:fldChar w:fldCharType="end"/>
    </w:r>
    <w:r/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539"/>
        <w:jc w:val="both"/>
        <w:spacing w:before="0" w:beforeAutospacing="0" w:after="0" w:afterAutospacing="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21"/>
    <w:link w:val="734"/>
    <w:uiPriority w:val="10"/>
    <w:rPr>
      <w:sz w:val="48"/>
      <w:szCs w:val="48"/>
    </w:rPr>
  </w:style>
  <w:style w:type="character" w:styleId="706">
    <w:name w:val="Subtitle Char"/>
    <w:basedOn w:val="721"/>
    <w:link w:val="736"/>
    <w:uiPriority w:val="11"/>
    <w:rPr>
      <w:sz w:val="24"/>
      <w:szCs w:val="24"/>
    </w:rPr>
  </w:style>
  <w:style w:type="character" w:styleId="707">
    <w:name w:val="Quote Char"/>
    <w:link w:val="738"/>
    <w:uiPriority w:val="29"/>
    <w:rPr>
      <w:i/>
    </w:rPr>
  </w:style>
  <w:style w:type="character" w:styleId="708">
    <w:name w:val="Intense Quote Char"/>
    <w:link w:val="740"/>
    <w:uiPriority w:val="30"/>
    <w:rPr>
      <w:i/>
    </w:rPr>
  </w:style>
  <w:style w:type="character" w:styleId="709">
    <w:name w:val="Footnote Text Char"/>
    <w:link w:val="873"/>
    <w:uiPriority w:val="99"/>
    <w:rPr>
      <w:sz w:val="18"/>
    </w:rPr>
  </w:style>
  <w:style w:type="character" w:styleId="710">
    <w:name w:val="Endnote Text Char"/>
    <w:link w:val="876"/>
    <w:uiPriority w:val="99"/>
    <w:rPr>
      <w:sz w:val="20"/>
    </w:rPr>
  </w:style>
  <w:style w:type="paragraph" w:styleId="711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1"/>
    <w:uiPriority w:val="99"/>
  </w:style>
  <w:style w:type="character" w:styleId="743" w:customStyle="1">
    <w:name w:val="Footer Char"/>
    <w:basedOn w:val="721"/>
    <w:uiPriority w:val="99"/>
  </w:style>
  <w:style w:type="paragraph" w:styleId="744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22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722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2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2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2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22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22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2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711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1"/>
    <w:uiPriority w:val="99"/>
    <w:unhideWhenUsed/>
    <w:rPr>
      <w:vertAlign w:val="superscript"/>
    </w:rPr>
  </w:style>
  <w:style w:type="paragraph" w:styleId="876">
    <w:name w:val="endnote text"/>
    <w:basedOn w:val="711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1"/>
    <w:uiPriority w:val="99"/>
    <w:semiHidden/>
    <w:unhideWhenUsed/>
    <w:rPr>
      <w:vertAlign w:val="superscript"/>
    </w:rPr>
  </w:style>
  <w:style w:type="paragraph" w:styleId="879">
    <w:name w:val="toc 1"/>
    <w:basedOn w:val="711"/>
    <w:next w:val="711"/>
    <w:uiPriority w:val="39"/>
    <w:unhideWhenUsed/>
    <w:pPr>
      <w:spacing w:after="57"/>
    </w:pPr>
  </w:style>
  <w:style w:type="paragraph" w:styleId="880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1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2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3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4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5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6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7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1"/>
    <w:next w:val="711"/>
    <w:uiPriority w:val="99"/>
    <w:unhideWhenUsed/>
  </w:style>
  <w:style w:type="paragraph" w:styleId="890">
    <w:name w:val="Header"/>
    <w:basedOn w:val="711"/>
    <w:link w:val="891"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721"/>
    <w:link w:val="89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Footer"/>
    <w:basedOn w:val="711"/>
    <w:link w:val="893"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721"/>
    <w:link w:val="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page number"/>
    <w:basedOn w:val="721"/>
  </w:style>
  <w:style w:type="character" w:styleId="895">
    <w:name w:val="Strong"/>
    <w:basedOn w:val="721"/>
    <w:qFormat/>
    <w:rPr>
      <w:b/>
      <w:bCs/>
    </w:rPr>
  </w:style>
  <w:style w:type="paragraph" w:styleId="896" w:customStyle="1">
    <w:name w:val="ConsPlusNormal"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897">
    <w:name w:val="List Paragraph"/>
    <w:basedOn w:val="7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5AB07-4B09-4A3B-A6C8-C141A2D8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starodumova_oe</dc:creator>
  <cp:revision>26</cp:revision>
  <dcterms:created xsi:type="dcterms:W3CDTF">2022-02-24T11:31:00Z</dcterms:created>
  <dcterms:modified xsi:type="dcterms:W3CDTF">2023-02-22T07:12:42Z</dcterms:modified>
</cp:coreProperties>
</file>